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18A4" w14:textId="5EEE6340" w:rsidR="0045612C" w:rsidRPr="00474E71" w:rsidRDefault="00474E71" w:rsidP="00474E71">
      <w:pPr>
        <w:shd w:val="clear" w:color="auto" w:fill="FFFFFF" w:themeFill="background1"/>
        <w:spacing w:after="0" w:line="240" w:lineRule="auto"/>
        <w:jc w:val="center"/>
        <w:rPr>
          <w:rFonts w:eastAsiaTheme="minorEastAsia"/>
          <w:b/>
          <w:bCs/>
          <w:color w:val="000000"/>
          <w:u w:val="single"/>
          <w:lang w:val="en-US" w:eastAsia="nl-NL"/>
        </w:rPr>
      </w:pPr>
      <w:r>
        <w:rPr>
          <w:rFonts w:eastAsiaTheme="minorEastAsia"/>
          <w:b/>
          <w:bCs/>
          <w:color w:val="000000" w:themeColor="text1"/>
          <w:u w:val="single"/>
          <w:lang w:val="en-US" w:eastAsia="nl-NL"/>
        </w:rPr>
        <w:t xml:space="preserve">RPA </w:t>
      </w:r>
      <w:proofErr w:type="spellStart"/>
      <w:r w:rsidR="0069540E" w:rsidRPr="00474E71">
        <w:rPr>
          <w:rFonts w:eastAsiaTheme="minorEastAsia"/>
          <w:b/>
          <w:bCs/>
          <w:color w:val="000000" w:themeColor="text1"/>
          <w:u w:val="single"/>
          <w:lang w:val="en-US" w:eastAsia="nl-NL"/>
        </w:rPr>
        <w:t>Polari</w:t>
      </w:r>
      <w:r w:rsidR="009432C8">
        <w:rPr>
          <w:rFonts w:eastAsiaTheme="minorEastAsia"/>
          <w:b/>
          <w:bCs/>
          <w:color w:val="000000" w:themeColor="text1"/>
          <w:u w:val="single"/>
          <w:lang w:val="en-US" w:eastAsia="nl-NL"/>
        </w:rPr>
        <w:t>s</w:t>
      </w:r>
      <w:r w:rsidR="0069540E" w:rsidRPr="00474E71">
        <w:rPr>
          <w:rFonts w:eastAsiaTheme="minorEastAsia"/>
          <w:b/>
          <w:bCs/>
          <w:color w:val="000000" w:themeColor="text1"/>
          <w:u w:val="single"/>
          <w:lang w:val="en-US" w:eastAsia="nl-NL"/>
        </w:rPr>
        <w:t>ation</w:t>
      </w:r>
      <w:proofErr w:type="spellEnd"/>
      <w:r w:rsidR="06985FC5" w:rsidRPr="00474E71">
        <w:rPr>
          <w:rFonts w:eastAsiaTheme="minorEastAsia"/>
          <w:b/>
          <w:bCs/>
          <w:color w:val="000000" w:themeColor="text1"/>
          <w:u w:val="single"/>
          <w:lang w:val="en-US" w:eastAsia="nl-NL"/>
        </w:rPr>
        <w:t xml:space="preserve"> </w:t>
      </w:r>
      <w:r>
        <w:rPr>
          <w:rFonts w:eastAsiaTheme="minorEastAsia"/>
          <w:b/>
          <w:bCs/>
          <w:color w:val="000000" w:themeColor="text1"/>
          <w:u w:val="single"/>
          <w:lang w:val="en-US" w:eastAsia="nl-NL"/>
        </w:rPr>
        <w:t>S</w:t>
      </w:r>
      <w:r w:rsidR="06985FC5" w:rsidRPr="00474E71">
        <w:rPr>
          <w:rFonts w:eastAsiaTheme="minorEastAsia"/>
          <w:b/>
          <w:bCs/>
          <w:color w:val="000000" w:themeColor="text1"/>
          <w:u w:val="single"/>
          <w:lang w:val="en-US" w:eastAsia="nl-NL"/>
        </w:rPr>
        <w:t xml:space="preserve">eed </w:t>
      </w:r>
      <w:r>
        <w:rPr>
          <w:rFonts w:eastAsiaTheme="minorEastAsia"/>
          <w:b/>
          <w:bCs/>
          <w:color w:val="000000" w:themeColor="text1"/>
          <w:u w:val="single"/>
          <w:lang w:val="en-US" w:eastAsia="nl-NL"/>
        </w:rPr>
        <w:t>G</w:t>
      </w:r>
      <w:r w:rsidR="06985FC5" w:rsidRPr="00474E71">
        <w:rPr>
          <w:rFonts w:eastAsiaTheme="minorEastAsia"/>
          <w:b/>
          <w:bCs/>
          <w:color w:val="000000" w:themeColor="text1"/>
          <w:u w:val="single"/>
          <w:lang w:val="en-US" w:eastAsia="nl-NL"/>
        </w:rPr>
        <w:t>rant</w:t>
      </w:r>
      <w:r>
        <w:rPr>
          <w:rFonts w:eastAsiaTheme="minorEastAsia"/>
          <w:b/>
          <w:bCs/>
          <w:color w:val="000000" w:themeColor="text1"/>
          <w:u w:val="single"/>
          <w:lang w:val="en-US" w:eastAsia="nl-NL"/>
        </w:rPr>
        <w:t xml:space="preserve"> Program</w:t>
      </w:r>
      <w:r w:rsidR="06985FC5" w:rsidRPr="00474E71">
        <w:rPr>
          <w:rFonts w:eastAsiaTheme="minorEastAsia"/>
          <w:b/>
          <w:bCs/>
          <w:color w:val="000000" w:themeColor="text1"/>
          <w:u w:val="single"/>
          <w:lang w:val="en-US" w:eastAsia="nl-NL"/>
        </w:rPr>
        <w:t xml:space="preserve"> 2023</w:t>
      </w:r>
      <w:r>
        <w:rPr>
          <w:rFonts w:eastAsiaTheme="minorEastAsia"/>
          <w:b/>
          <w:bCs/>
          <w:color w:val="000000" w:themeColor="text1"/>
          <w:u w:val="single"/>
          <w:lang w:val="en-US" w:eastAsia="nl-NL"/>
        </w:rPr>
        <w:t>-2024</w:t>
      </w:r>
    </w:p>
    <w:p w14:paraId="54BAEDB3" w14:textId="77777777" w:rsidR="00A04473" w:rsidRDefault="00A04473" w:rsidP="448BC4D8">
      <w:pPr>
        <w:shd w:val="clear" w:color="auto" w:fill="FFFFFF" w:themeFill="background1"/>
        <w:rPr>
          <w:rFonts w:eastAsiaTheme="minorEastAsia"/>
          <w:color w:val="000000" w:themeColor="text1"/>
          <w:lang w:val="en-US" w:eastAsia="nl-NL"/>
        </w:rPr>
      </w:pPr>
    </w:p>
    <w:p w14:paraId="08857E50" w14:textId="274AFCF0" w:rsidR="008F0056" w:rsidRDefault="00A04473" w:rsidP="448BC4D8">
      <w:pPr>
        <w:shd w:val="clear" w:color="auto" w:fill="FFFFFF" w:themeFill="background1"/>
        <w:rPr>
          <w:rFonts w:eastAsiaTheme="minorEastAsia"/>
          <w:lang w:val="en-US"/>
        </w:rPr>
      </w:pPr>
      <w:r>
        <w:rPr>
          <w:rFonts w:eastAsiaTheme="minorEastAsia"/>
          <w:color w:val="000000" w:themeColor="text1"/>
          <w:lang w:val="en-US" w:eastAsia="nl-NL"/>
        </w:rPr>
        <w:t>To apply for</w:t>
      </w:r>
      <w:r w:rsidR="2B564190" w:rsidRPr="448BC4D8">
        <w:rPr>
          <w:rFonts w:eastAsiaTheme="minorEastAsia"/>
          <w:color w:val="000000" w:themeColor="text1"/>
          <w:lang w:val="en-US" w:eastAsia="nl-NL"/>
        </w:rPr>
        <w:t xml:space="preserve"> the 2023 Pilot grants</w:t>
      </w:r>
      <w:r>
        <w:rPr>
          <w:rFonts w:eastAsiaTheme="minorEastAsia"/>
          <w:color w:val="000000" w:themeColor="text1"/>
          <w:lang w:val="en-US" w:eastAsia="nl-NL"/>
        </w:rPr>
        <w:t xml:space="preserve">, please e-mail the completed the </w:t>
      </w:r>
      <w:hyperlink r:id="rId8" w:history="1">
        <w:r w:rsidRPr="00A04473">
          <w:rPr>
            <w:rStyle w:val="Hyperlink"/>
            <w:rFonts w:eastAsiaTheme="minorEastAsia"/>
            <w:lang w:val="en-US" w:eastAsia="nl-NL"/>
          </w:rPr>
          <w:t>Application Form</w:t>
        </w:r>
      </w:hyperlink>
      <w:r w:rsidR="2B564190" w:rsidRPr="448BC4D8">
        <w:rPr>
          <w:rFonts w:eastAsiaTheme="minorEastAsia"/>
          <w:color w:val="000000" w:themeColor="text1"/>
          <w:lang w:val="en-US" w:eastAsia="nl-NL"/>
        </w:rPr>
        <w:t xml:space="preserve"> </w:t>
      </w:r>
      <w:r>
        <w:rPr>
          <w:rFonts w:eastAsiaTheme="minorEastAsia"/>
          <w:color w:val="000000" w:themeColor="text1"/>
          <w:lang w:val="en-US" w:eastAsia="nl-NL"/>
        </w:rPr>
        <w:t xml:space="preserve">to </w:t>
      </w:r>
      <w:hyperlink r:id="rId9" w:history="1">
        <w:r w:rsidRPr="00A04473">
          <w:rPr>
            <w:rStyle w:val="Hyperlink"/>
            <w:rFonts w:eastAsiaTheme="minorEastAsia"/>
            <w:lang w:val="en-US"/>
          </w:rPr>
          <w:t>polarisa</w:t>
        </w:r>
        <w:r w:rsidRPr="00A04473">
          <w:rPr>
            <w:rStyle w:val="Hyperlink"/>
            <w:rFonts w:eastAsiaTheme="minorEastAsia"/>
            <w:lang w:val="en-US"/>
          </w:rPr>
          <w:t>t</w:t>
        </w:r>
        <w:r w:rsidRPr="00A04473">
          <w:rPr>
            <w:rStyle w:val="Hyperlink"/>
            <w:rFonts w:eastAsiaTheme="minorEastAsia"/>
            <w:lang w:val="en-US"/>
          </w:rPr>
          <w:t>ion-fmg@uva.nl</w:t>
        </w:r>
      </w:hyperlink>
      <w:r>
        <w:rPr>
          <w:rFonts w:eastAsiaTheme="minorEastAsia"/>
          <w:color w:val="000000" w:themeColor="text1"/>
          <w:lang w:val="en-US" w:eastAsia="nl-NL"/>
        </w:rPr>
        <w:t xml:space="preserve"> </w:t>
      </w:r>
      <w:r w:rsidR="2B564190" w:rsidRPr="448BC4D8">
        <w:rPr>
          <w:rFonts w:eastAsiaTheme="minorEastAsia"/>
          <w:color w:val="000000" w:themeColor="text1"/>
          <w:lang w:val="en-US" w:eastAsia="nl-NL"/>
        </w:rPr>
        <w:t xml:space="preserve">by </w:t>
      </w:r>
      <w:r w:rsidR="1C6213E6" w:rsidRPr="448BC4D8">
        <w:rPr>
          <w:rFonts w:eastAsiaTheme="minorEastAsia"/>
          <w:b/>
          <w:bCs/>
          <w:color w:val="000000" w:themeColor="text1"/>
          <w:sz w:val="24"/>
          <w:szCs w:val="24"/>
          <w:lang w:val="en-US"/>
        </w:rPr>
        <w:t>April 1, 2023</w:t>
      </w:r>
      <w:r w:rsidR="1C6213E6" w:rsidRPr="448BC4D8">
        <w:rPr>
          <w:rFonts w:eastAsiaTheme="minorEastAsia"/>
          <w:color w:val="000000" w:themeColor="text1"/>
          <w:sz w:val="24"/>
          <w:szCs w:val="24"/>
          <w:lang w:val="en-US"/>
        </w:rPr>
        <w:t xml:space="preserve"> </w:t>
      </w:r>
      <w:r w:rsidR="1C6213E6" w:rsidRPr="00A04473">
        <w:rPr>
          <w:rFonts w:eastAsiaTheme="minorEastAsia"/>
          <w:color w:val="000000" w:themeColor="text1"/>
          <w:lang w:val="en-US"/>
        </w:rPr>
        <w:t>(end of day)</w:t>
      </w:r>
      <w:r>
        <w:rPr>
          <w:rFonts w:eastAsiaTheme="minorEastAsia"/>
          <w:color w:val="000000" w:themeColor="text1"/>
          <w:lang w:val="en-US"/>
        </w:rPr>
        <w:t>.</w:t>
      </w:r>
    </w:p>
    <w:p w14:paraId="5084B35F" w14:textId="7AD52F0F" w:rsidR="008F0056" w:rsidRDefault="008F0056" w:rsidP="266B9493">
      <w:pPr>
        <w:shd w:val="clear" w:color="auto" w:fill="FFFFFF" w:themeFill="background1"/>
        <w:spacing w:line="240" w:lineRule="auto"/>
        <w:rPr>
          <w:rFonts w:eastAsiaTheme="minorEastAsia"/>
          <w:color w:val="000000" w:themeColor="text1"/>
          <w:lang w:val="en-US" w:eastAsia="nl-NL"/>
        </w:rPr>
      </w:pPr>
    </w:p>
    <w:p w14:paraId="1869F84F" w14:textId="38194669" w:rsidR="008F0056" w:rsidRPr="008F0056" w:rsidRDefault="001F34C2" w:rsidP="001F34C2">
      <w:pPr>
        <w:shd w:val="clear" w:color="auto" w:fill="FFFFFF" w:themeFill="background1"/>
        <w:spacing w:line="240" w:lineRule="auto"/>
        <w:jc w:val="center"/>
        <w:rPr>
          <w:rFonts w:eastAsiaTheme="minorEastAsia"/>
          <w:b/>
          <w:bCs/>
          <w:color w:val="000000" w:themeColor="text1"/>
          <w:lang w:val="en-US" w:eastAsia="nl-NL"/>
        </w:rPr>
      </w:pPr>
      <w:r w:rsidRPr="001F34C2">
        <w:rPr>
          <w:rFonts w:eastAsiaTheme="minorEastAsia"/>
          <w:b/>
          <w:bCs/>
          <w:color w:val="000000" w:themeColor="text1"/>
          <w:lang w:val="en-US" w:eastAsia="nl-NL"/>
        </w:rPr>
        <w:t>General</w:t>
      </w:r>
      <w:r>
        <w:rPr>
          <w:rFonts w:eastAsiaTheme="minorEastAsia"/>
          <w:color w:val="000000" w:themeColor="text1"/>
          <w:lang w:val="en-US" w:eastAsia="nl-NL"/>
        </w:rPr>
        <w:t xml:space="preserve"> </w:t>
      </w:r>
      <w:r w:rsidR="008F0056" w:rsidRPr="008F0056">
        <w:rPr>
          <w:rFonts w:eastAsiaTheme="minorEastAsia"/>
          <w:b/>
          <w:bCs/>
          <w:color w:val="000000" w:themeColor="text1"/>
          <w:lang w:val="en-US" w:eastAsia="nl-NL"/>
        </w:rPr>
        <w:t xml:space="preserve">Aims of the RPA </w:t>
      </w:r>
      <w:proofErr w:type="spellStart"/>
      <w:r w:rsidR="008F0056" w:rsidRPr="008F0056">
        <w:rPr>
          <w:rFonts w:eastAsiaTheme="minorEastAsia"/>
          <w:b/>
          <w:bCs/>
          <w:color w:val="000000" w:themeColor="text1"/>
          <w:lang w:val="en-US" w:eastAsia="nl-NL"/>
        </w:rPr>
        <w:t>Polari</w:t>
      </w:r>
      <w:r w:rsidR="009432C8">
        <w:rPr>
          <w:rFonts w:eastAsiaTheme="minorEastAsia"/>
          <w:b/>
          <w:bCs/>
          <w:color w:val="000000" w:themeColor="text1"/>
          <w:lang w:val="en-US" w:eastAsia="nl-NL"/>
        </w:rPr>
        <w:t>s</w:t>
      </w:r>
      <w:r w:rsidR="008F0056" w:rsidRPr="008F0056">
        <w:rPr>
          <w:rFonts w:eastAsiaTheme="minorEastAsia"/>
          <w:b/>
          <w:bCs/>
          <w:color w:val="000000" w:themeColor="text1"/>
          <w:lang w:val="en-US" w:eastAsia="nl-NL"/>
        </w:rPr>
        <w:t>ation</w:t>
      </w:r>
      <w:proofErr w:type="spellEnd"/>
      <w:r w:rsidR="008F0056" w:rsidRPr="008F0056">
        <w:rPr>
          <w:rFonts w:eastAsiaTheme="minorEastAsia"/>
          <w:b/>
          <w:bCs/>
          <w:color w:val="000000" w:themeColor="text1"/>
          <w:lang w:val="en-US" w:eastAsia="nl-NL"/>
        </w:rPr>
        <w:t xml:space="preserve"> Seed </w:t>
      </w:r>
      <w:r>
        <w:rPr>
          <w:rFonts w:eastAsiaTheme="minorEastAsia"/>
          <w:b/>
          <w:bCs/>
          <w:color w:val="000000" w:themeColor="text1"/>
          <w:lang w:val="en-US" w:eastAsia="nl-NL"/>
        </w:rPr>
        <w:t>Grant</w:t>
      </w:r>
      <w:r w:rsidR="008F0056" w:rsidRPr="008F0056">
        <w:rPr>
          <w:rFonts w:eastAsiaTheme="minorEastAsia"/>
          <w:b/>
          <w:bCs/>
          <w:color w:val="000000" w:themeColor="text1"/>
          <w:lang w:val="en-US" w:eastAsia="nl-NL"/>
        </w:rPr>
        <w:t xml:space="preserve"> Program</w:t>
      </w:r>
    </w:p>
    <w:tbl>
      <w:tblPr>
        <w:tblStyle w:val="TableGrid"/>
        <w:tblW w:w="0" w:type="auto"/>
        <w:tblLook w:val="04A0" w:firstRow="1" w:lastRow="0" w:firstColumn="1" w:lastColumn="0" w:noHBand="0" w:noVBand="1"/>
      </w:tblPr>
      <w:tblGrid>
        <w:gridCol w:w="8919"/>
      </w:tblGrid>
      <w:tr w:rsidR="008F0056" w:rsidRPr="00EB7FFB" w14:paraId="31E02512" w14:textId="77777777" w:rsidTr="00CB0467">
        <w:tc>
          <w:tcPr>
            <w:tcW w:w="8919" w:type="dxa"/>
          </w:tcPr>
          <w:p w14:paraId="739F40E9" w14:textId="4482DF36" w:rsidR="005D1285" w:rsidRDefault="005D1285" w:rsidP="38EB5501">
            <w:pPr>
              <w:shd w:val="clear" w:color="auto" w:fill="FFFFFF" w:themeFill="background1"/>
              <w:rPr>
                <w:rFonts w:eastAsiaTheme="minorEastAsia"/>
                <w:color w:val="000000" w:themeColor="text1"/>
                <w:sz w:val="22"/>
                <w:szCs w:val="22"/>
                <w:lang w:eastAsia="nl-NL"/>
              </w:rPr>
            </w:pPr>
            <w:proofErr w:type="spellStart"/>
            <w:r w:rsidRPr="009B5B81">
              <w:rPr>
                <w:rFonts w:eastAsiaTheme="minorEastAsia"/>
                <w:color w:val="000000" w:themeColor="text1"/>
                <w:sz w:val="22"/>
                <w:szCs w:val="22"/>
                <w:lang w:eastAsia="nl-NL"/>
              </w:rPr>
              <w:t>Polari</w:t>
            </w:r>
            <w:r w:rsidR="009432C8">
              <w:rPr>
                <w:rFonts w:eastAsiaTheme="minorEastAsia"/>
                <w:color w:val="000000" w:themeColor="text1"/>
                <w:sz w:val="22"/>
                <w:szCs w:val="22"/>
                <w:lang w:eastAsia="nl-NL"/>
              </w:rPr>
              <w:t>s</w:t>
            </w:r>
            <w:r w:rsidRPr="009B5B81">
              <w:rPr>
                <w:rFonts w:eastAsiaTheme="minorEastAsia"/>
                <w:color w:val="000000" w:themeColor="text1"/>
                <w:sz w:val="22"/>
                <w:szCs w:val="22"/>
                <w:lang w:eastAsia="nl-NL"/>
              </w:rPr>
              <w:t>ation</w:t>
            </w:r>
            <w:proofErr w:type="spellEnd"/>
            <w:r w:rsidRPr="009B5B81">
              <w:rPr>
                <w:rFonts w:eastAsiaTheme="minorEastAsia"/>
                <w:color w:val="000000" w:themeColor="text1"/>
                <w:sz w:val="22"/>
                <w:szCs w:val="22"/>
                <w:lang w:eastAsia="nl-NL"/>
              </w:rPr>
              <w:t xml:space="preserve"> – the development or existence of a persisting, extreme, multi-modal divide in attitudes, identities, and behaviors – can be a significant impediment to harmonious and productive societies.</w:t>
            </w:r>
            <w:r>
              <w:rPr>
                <w:rFonts w:eastAsiaTheme="minorEastAsia"/>
                <w:color w:val="000000" w:themeColor="text1"/>
                <w:sz w:val="22"/>
                <w:szCs w:val="22"/>
                <w:lang w:eastAsia="nl-NL"/>
              </w:rPr>
              <w:t xml:space="preserve"> </w:t>
            </w:r>
            <w:r w:rsidRPr="007A0AC1">
              <w:rPr>
                <w:rFonts w:eastAsiaTheme="minorEastAsia"/>
                <w:color w:val="000000" w:themeColor="text1"/>
                <w:sz w:val="22"/>
                <w:szCs w:val="22"/>
                <w:lang w:eastAsia="nl-NL"/>
              </w:rPr>
              <w:t xml:space="preserve">Newly emergent patterns of </w:t>
            </w:r>
            <w:proofErr w:type="spellStart"/>
            <w:r w:rsidRPr="007A0AC1">
              <w:rPr>
                <w:rFonts w:eastAsiaTheme="minorEastAsia"/>
                <w:color w:val="000000" w:themeColor="text1"/>
                <w:sz w:val="22"/>
                <w:szCs w:val="22"/>
                <w:lang w:eastAsia="nl-NL"/>
              </w:rPr>
              <w:t>p</w:t>
            </w:r>
            <w:r w:rsidR="00EB7FFB">
              <w:rPr>
                <w:rFonts w:eastAsiaTheme="minorEastAsia"/>
                <w:color w:val="000000" w:themeColor="text1"/>
                <w:sz w:val="22"/>
                <w:szCs w:val="22"/>
                <w:lang w:eastAsia="nl-NL"/>
              </w:rPr>
              <w:t>olarisation</w:t>
            </w:r>
            <w:proofErr w:type="spellEnd"/>
            <w:r w:rsidRPr="007A0AC1">
              <w:rPr>
                <w:rFonts w:eastAsiaTheme="minorEastAsia"/>
                <w:color w:val="000000" w:themeColor="text1"/>
                <w:sz w:val="22"/>
                <w:szCs w:val="22"/>
                <w:lang w:eastAsia="nl-NL"/>
              </w:rPr>
              <w:t xml:space="preserve"> with respect to topics like COVID-19 policies and climate change interlock with existing cultural and political divides and identities, undermining society’s capacity for taking concerted collective action. </w:t>
            </w:r>
            <w:proofErr w:type="spellStart"/>
            <w:r w:rsidRPr="007A0AC1">
              <w:rPr>
                <w:rFonts w:eastAsiaTheme="minorEastAsia"/>
                <w:color w:val="000000" w:themeColor="text1"/>
                <w:sz w:val="22"/>
                <w:szCs w:val="22"/>
                <w:lang w:eastAsia="nl-NL"/>
              </w:rPr>
              <w:t>P</w:t>
            </w:r>
            <w:r w:rsidR="00EB7FFB">
              <w:rPr>
                <w:rFonts w:eastAsiaTheme="minorEastAsia"/>
                <w:color w:val="000000" w:themeColor="text1"/>
                <w:sz w:val="22"/>
                <w:szCs w:val="22"/>
                <w:lang w:eastAsia="nl-NL"/>
              </w:rPr>
              <w:t>olarisation</w:t>
            </w:r>
            <w:proofErr w:type="spellEnd"/>
            <w:r w:rsidRPr="007A0AC1">
              <w:rPr>
                <w:rFonts w:eastAsiaTheme="minorEastAsia"/>
                <w:color w:val="000000" w:themeColor="text1"/>
                <w:sz w:val="22"/>
                <w:szCs w:val="22"/>
                <w:lang w:eastAsia="nl-NL"/>
              </w:rPr>
              <w:t xml:space="preserve"> is a complex phenomenon which is linked to processes at all levels of societal life, including, but not limited to, individual cognitive biases, social group dynamics and larger educational, cultural, and political structures.</w:t>
            </w:r>
            <w:r>
              <w:rPr>
                <w:rFonts w:eastAsiaTheme="minorEastAsia"/>
                <w:color w:val="000000" w:themeColor="text1"/>
                <w:sz w:val="22"/>
                <w:szCs w:val="22"/>
                <w:lang w:eastAsia="nl-NL"/>
              </w:rPr>
              <w:t xml:space="preserve"> </w:t>
            </w:r>
            <w:r w:rsidR="004F0A33">
              <w:rPr>
                <w:rFonts w:eastAsiaTheme="minorEastAsia"/>
                <w:color w:val="000000" w:themeColor="text1"/>
                <w:sz w:val="22"/>
                <w:szCs w:val="22"/>
                <w:lang w:eastAsia="nl-NL"/>
              </w:rPr>
              <w:t>Interdisciplinary research is key to understand</w:t>
            </w:r>
            <w:r w:rsidR="00C47866">
              <w:rPr>
                <w:rFonts w:eastAsiaTheme="minorEastAsia"/>
                <w:color w:val="000000" w:themeColor="text1"/>
                <w:sz w:val="22"/>
                <w:szCs w:val="22"/>
                <w:lang w:eastAsia="nl-NL"/>
              </w:rPr>
              <w:t>ing</w:t>
            </w:r>
            <w:r w:rsidR="004F0A33">
              <w:rPr>
                <w:rFonts w:eastAsiaTheme="minorEastAsia"/>
                <w:color w:val="000000" w:themeColor="text1"/>
                <w:sz w:val="22"/>
                <w:szCs w:val="22"/>
                <w:lang w:eastAsia="nl-NL"/>
              </w:rPr>
              <w:t xml:space="preserve"> the </w:t>
            </w:r>
            <w:r w:rsidR="00D44C1B">
              <w:rPr>
                <w:rFonts w:eastAsiaTheme="minorEastAsia"/>
                <w:color w:val="000000" w:themeColor="text1"/>
                <w:sz w:val="22"/>
                <w:szCs w:val="22"/>
                <w:lang w:eastAsia="nl-NL"/>
              </w:rPr>
              <w:t>interdependencies between (de)</w:t>
            </w:r>
            <w:proofErr w:type="spellStart"/>
            <w:r w:rsidR="00D44C1B">
              <w:rPr>
                <w:rFonts w:eastAsiaTheme="minorEastAsia"/>
                <w:color w:val="000000" w:themeColor="text1"/>
                <w:sz w:val="22"/>
                <w:szCs w:val="22"/>
                <w:lang w:eastAsia="nl-NL"/>
              </w:rPr>
              <w:t>p</w:t>
            </w:r>
            <w:r w:rsidR="00EB7FFB">
              <w:rPr>
                <w:rFonts w:eastAsiaTheme="minorEastAsia"/>
                <w:color w:val="000000" w:themeColor="text1"/>
                <w:sz w:val="22"/>
                <w:szCs w:val="22"/>
                <w:lang w:eastAsia="nl-NL"/>
              </w:rPr>
              <w:t>olarisation</w:t>
            </w:r>
            <w:proofErr w:type="spellEnd"/>
            <w:r w:rsidR="00D44C1B">
              <w:rPr>
                <w:rFonts w:eastAsiaTheme="minorEastAsia"/>
                <w:color w:val="000000" w:themeColor="text1"/>
                <w:sz w:val="22"/>
                <w:szCs w:val="22"/>
                <w:lang w:eastAsia="nl-NL"/>
              </w:rPr>
              <w:t xml:space="preserve"> processes across these levels</w:t>
            </w:r>
            <w:r w:rsidR="00C47866">
              <w:rPr>
                <w:rFonts w:eastAsiaTheme="minorEastAsia"/>
                <w:color w:val="000000" w:themeColor="text1"/>
                <w:sz w:val="22"/>
                <w:szCs w:val="22"/>
                <w:lang w:eastAsia="nl-NL"/>
              </w:rPr>
              <w:t xml:space="preserve"> and to building a comprehensive understanding of </w:t>
            </w:r>
            <w:proofErr w:type="spellStart"/>
            <w:r w:rsidR="00C47866">
              <w:rPr>
                <w:rFonts w:eastAsiaTheme="minorEastAsia"/>
                <w:color w:val="000000" w:themeColor="text1"/>
                <w:sz w:val="22"/>
                <w:szCs w:val="22"/>
                <w:lang w:eastAsia="nl-NL"/>
              </w:rPr>
              <w:t>p</w:t>
            </w:r>
            <w:r w:rsidR="00EB7FFB">
              <w:rPr>
                <w:rFonts w:eastAsiaTheme="minorEastAsia"/>
                <w:color w:val="000000" w:themeColor="text1"/>
                <w:sz w:val="22"/>
                <w:szCs w:val="22"/>
                <w:lang w:eastAsia="nl-NL"/>
              </w:rPr>
              <w:t>olarisation</w:t>
            </w:r>
            <w:proofErr w:type="spellEnd"/>
            <w:r w:rsidR="00D44C1B">
              <w:rPr>
                <w:rFonts w:eastAsiaTheme="minorEastAsia"/>
                <w:color w:val="000000" w:themeColor="text1"/>
                <w:sz w:val="22"/>
                <w:szCs w:val="22"/>
                <w:lang w:eastAsia="nl-NL"/>
              </w:rPr>
              <w:t>.</w:t>
            </w:r>
          </w:p>
          <w:p w14:paraId="2EE32350" w14:textId="77777777" w:rsidR="005D1285" w:rsidRDefault="005D1285" w:rsidP="38EB5501">
            <w:pPr>
              <w:shd w:val="clear" w:color="auto" w:fill="FFFFFF" w:themeFill="background1"/>
              <w:rPr>
                <w:rFonts w:eastAsiaTheme="minorEastAsia"/>
                <w:color w:val="000000" w:themeColor="text1"/>
                <w:sz w:val="22"/>
                <w:szCs w:val="22"/>
                <w:lang w:eastAsia="nl-NL"/>
              </w:rPr>
            </w:pPr>
          </w:p>
          <w:p w14:paraId="3467A074" w14:textId="743AD5C0" w:rsidR="008F0056" w:rsidRDefault="008F0056" w:rsidP="00CB0467">
            <w:pPr>
              <w:shd w:val="clear" w:color="auto" w:fill="FFFFFF" w:themeFill="background1"/>
              <w:rPr>
                <w:rFonts w:eastAsiaTheme="minorEastAsia"/>
                <w:color w:val="000000" w:themeColor="text1"/>
                <w:sz w:val="22"/>
                <w:szCs w:val="22"/>
                <w:lang w:eastAsia="nl-NL"/>
              </w:rPr>
            </w:pPr>
            <w:r w:rsidRPr="0A1F4303">
              <w:rPr>
                <w:rFonts w:eastAsiaTheme="minorEastAsia"/>
                <w:color w:val="000000" w:themeColor="text1"/>
                <w:sz w:val="22"/>
                <w:szCs w:val="22"/>
                <w:lang w:eastAsia="nl-NL"/>
              </w:rPr>
              <w:t>A key aim of the</w:t>
            </w:r>
            <w:r w:rsidRPr="2131C6D3">
              <w:rPr>
                <w:rFonts w:asciiTheme="minorHAnsi" w:eastAsiaTheme="minorEastAsia" w:hAnsiTheme="minorHAnsi" w:cstheme="minorBidi"/>
                <w:color w:val="000000" w:themeColor="text1"/>
                <w:sz w:val="22"/>
                <w:szCs w:val="22"/>
                <w:lang w:eastAsia="nl-NL"/>
              </w:rPr>
              <w:t xml:space="preserve"> </w:t>
            </w:r>
            <w:r w:rsidRPr="0A1F4303">
              <w:rPr>
                <w:rFonts w:eastAsiaTheme="minorEastAsia"/>
                <w:color w:val="000000" w:themeColor="text1"/>
                <w:sz w:val="22"/>
                <w:szCs w:val="22"/>
                <w:lang w:eastAsia="nl-NL"/>
              </w:rPr>
              <w:t>Research Priority Area (RPA)</w:t>
            </w:r>
            <w:r w:rsidRPr="2131C6D3">
              <w:rPr>
                <w:rFonts w:asciiTheme="minorHAnsi" w:eastAsiaTheme="minorEastAsia" w:hAnsiTheme="minorHAnsi" w:cstheme="minorBidi"/>
                <w:color w:val="000000" w:themeColor="text1"/>
                <w:sz w:val="22"/>
                <w:szCs w:val="22"/>
                <w:lang w:eastAsia="nl-NL"/>
              </w:rPr>
              <w:t xml:space="preserve"> </w:t>
            </w:r>
            <w:proofErr w:type="spellStart"/>
            <w:r w:rsidRPr="005D1285">
              <w:rPr>
                <w:rFonts w:eastAsiaTheme="minorEastAsia"/>
                <w:i/>
                <w:color w:val="000000" w:themeColor="text1"/>
                <w:sz w:val="22"/>
                <w:szCs w:val="22"/>
                <w:lang w:eastAsia="nl-NL"/>
              </w:rPr>
              <w:t>P</w:t>
            </w:r>
            <w:r w:rsidR="00EB7FFB">
              <w:rPr>
                <w:rFonts w:asciiTheme="minorHAnsi" w:eastAsiaTheme="minorEastAsia" w:hAnsiTheme="minorHAnsi" w:cstheme="minorBidi"/>
                <w:i/>
                <w:color w:val="000000" w:themeColor="text1"/>
                <w:sz w:val="22"/>
                <w:szCs w:val="22"/>
                <w:lang w:eastAsia="nl-NL"/>
              </w:rPr>
              <w:t>olarisation</w:t>
            </w:r>
            <w:proofErr w:type="spellEnd"/>
            <w:r w:rsidRPr="2131C6D3">
              <w:rPr>
                <w:rFonts w:asciiTheme="minorHAnsi" w:eastAsiaTheme="minorEastAsia" w:hAnsiTheme="minorHAnsi" w:cstheme="minorBidi"/>
                <w:color w:val="000000" w:themeColor="text1"/>
                <w:sz w:val="22"/>
                <w:szCs w:val="22"/>
                <w:lang w:eastAsia="nl-NL"/>
              </w:rPr>
              <w:t xml:space="preserve"> </w:t>
            </w:r>
            <w:r w:rsidRPr="0A1F4303">
              <w:rPr>
                <w:rFonts w:eastAsiaTheme="minorEastAsia"/>
                <w:color w:val="000000" w:themeColor="text1"/>
                <w:sz w:val="22"/>
                <w:szCs w:val="22"/>
                <w:lang w:eastAsia="nl-NL"/>
              </w:rPr>
              <w:t xml:space="preserve">at the University of Amsterdam’s Faculty for Social </w:t>
            </w:r>
            <w:r w:rsidR="0042399C" w:rsidRPr="0A1F4303">
              <w:rPr>
                <w:rFonts w:eastAsiaTheme="minorEastAsia"/>
                <w:color w:val="000000" w:themeColor="text1"/>
                <w:sz w:val="22"/>
                <w:szCs w:val="22"/>
                <w:lang w:eastAsia="nl-NL"/>
              </w:rPr>
              <w:t xml:space="preserve">and Behavioral </w:t>
            </w:r>
            <w:r w:rsidRPr="0A1F4303">
              <w:rPr>
                <w:rFonts w:eastAsiaTheme="minorEastAsia"/>
                <w:color w:val="000000" w:themeColor="text1"/>
                <w:sz w:val="22"/>
                <w:szCs w:val="22"/>
                <w:lang w:eastAsia="nl-NL"/>
              </w:rPr>
              <w:t>Sciences (FMG) is</w:t>
            </w:r>
            <w:r w:rsidRPr="2131C6D3">
              <w:rPr>
                <w:rFonts w:asciiTheme="minorHAnsi" w:eastAsiaTheme="minorEastAsia" w:hAnsiTheme="minorHAnsi" w:cstheme="minorBidi"/>
                <w:color w:val="000000" w:themeColor="text1"/>
                <w:sz w:val="22"/>
                <w:szCs w:val="22"/>
                <w:lang w:eastAsia="nl-NL"/>
              </w:rPr>
              <w:t xml:space="preserve"> to </w:t>
            </w:r>
            <w:r w:rsidRPr="0A1F4303">
              <w:rPr>
                <w:rFonts w:eastAsiaTheme="minorEastAsia"/>
                <w:color w:val="000000" w:themeColor="text1"/>
                <w:sz w:val="22"/>
                <w:szCs w:val="22"/>
                <w:lang w:eastAsia="nl-NL"/>
              </w:rPr>
              <w:t>support</w:t>
            </w:r>
            <w:r w:rsidRPr="2131C6D3">
              <w:rPr>
                <w:rFonts w:asciiTheme="minorHAnsi" w:eastAsiaTheme="minorEastAsia" w:hAnsiTheme="minorHAnsi" w:cstheme="minorBidi"/>
                <w:color w:val="000000" w:themeColor="text1"/>
                <w:sz w:val="22"/>
                <w:szCs w:val="22"/>
                <w:lang w:eastAsia="nl-NL"/>
              </w:rPr>
              <w:t xml:space="preserve"> interdisciplinary scientific </w:t>
            </w:r>
            <w:r w:rsidRPr="0A1F4303">
              <w:rPr>
                <w:rFonts w:eastAsiaTheme="minorEastAsia"/>
                <w:color w:val="000000" w:themeColor="text1"/>
                <w:sz w:val="22"/>
                <w:szCs w:val="22"/>
                <w:lang w:eastAsia="nl-NL"/>
              </w:rPr>
              <w:t>research on</w:t>
            </w:r>
            <w:r w:rsidRPr="2131C6D3">
              <w:rPr>
                <w:rFonts w:asciiTheme="minorHAnsi" w:eastAsiaTheme="minorEastAsia" w:hAnsiTheme="minorHAnsi" w:cstheme="minorBidi"/>
                <w:color w:val="000000" w:themeColor="text1"/>
                <w:sz w:val="22"/>
                <w:szCs w:val="22"/>
                <w:lang w:eastAsia="nl-NL"/>
              </w:rPr>
              <w:t xml:space="preserve"> </w:t>
            </w:r>
            <w:r w:rsidRPr="0A1F4303">
              <w:rPr>
                <w:rFonts w:eastAsiaTheme="minorEastAsia"/>
                <w:color w:val="000000" w:themeColor="text1"/>
                <w:sz w:val="22"/>
                <w:szCs w:val="22"/>
                <w:lang w:eastAsia="nl-NL"/>
              </w:rPr>
              <w:t>(de)</w:t>
            </w:r>
            <w:proofErr w:type="spellStart"/>
            <w:r w:rsidRPr="0A1F4303">
              <w:rPr>
                <w:rFonts w:eastAsiaTheme="minorEastAsia"/>
                <w:color w:val="000000" w:themeColor="text1"/>
                <w:sz w:val="22"/>
                <w:szCs w:val="22"/>
                <w:lang w:eastAsia="nl-NL"/>
              </w:rPr>
              <w:t>p</w:t>
            </w:r>
            <w:r w:rsidR="00EB7FFB">
              <w:rPr>
                <w:rFonts w:eastAsiaTheme="minorEastAsia"/>
                <w:color w:val="000000" w:themeColor="text1"/>
                <w:sz w:val="22"/>
                <w:szCs w:val="22"/>
                <w:lang w:eastAsia="nl-NL"/>
              </w:rPr>
              <w:t>olarisation</w:t>
            </w:r>
            <w:proofErr w:type="spellEnd"/>
            <w:r w:rsidRPr="0A1F4303">
              <w:rPr>
                <w:rFonts w:eastAsiaTheme="minorEastAsia"/>
                <w:color w:val="000000" w:themeColor="text1"/>
                <w:sz w:val="22"/>
                <w:szCs w:val="22"/>
                <w:lang w:eastAsia="nl-NL"/>
              </w:rPr>
              <w:t>. Specifically, the RPA fosters interdisciplinary (</w:t>
            </w:r>
            <w:proofErr w:type="gramStart"/>
            <w:r w:rsidRPr="0A1F4303">
              <w:rPr>
                <w:rFonts w:eastAsiaTheme="minorEastAsia"/>
                <w:color w:val="000000" w:themeColor="text1"/>
                <w:sz w:val="22"/>
                <w:szCs w:val="22"/>
                <w:lang w:eastAsia="nl-NL"/>
              </w:rPr>
              <w:t>i.e.</w:t>
            </w:r>
            <w:proofErr w:type="gramEnd"/>
            <w:r w:rsidRPr="0A1F4303">
              <w:rPr>
                <w:rFonts w:eastAsiaTheme="minorEastAsia"/>
                <w:color w:val="000000" w:themeColor="text1"/>
                <w:sz w:val="22"/>
                <w:szCs w:val="22"/>
                <w:lang w:eastAsia="nl-NL"/>
              </w:rPr>
              <w:t xml:space="preserve"> cross-department) examination of </w:t>
            </w:r>
            <w:r w:rsidRPr="2131C6D3">
              <w:rPr>
                <w:rFonts w:asciiTheme="minorHAnsi" w:eastAsiaTheme="minorEastAsia" w:hAnsiTheme="minorHAnsi" w:cstheme="minorBidi"/>
                <w:color w:val="000000" w:themeColor="text1"/>
                <w:sz w:val="22"/>
                <w:szCs w:val="22"/>
                <w:lang w:eastAsia="nl-NL"/>
              </w:rPr>
              <w:t>causes, consequences</w:t>
            </w:r>
            <w:r w:rsidRPr="0A1F4303">
              <w:rPr>
                <w:rFonts w:eastAsiaTheme="minorEastAsia"/>
                <w:color w:val="000000" w:themeColor="text1"/>
                <w:sz w:val="22"/>
                <w:szCs w:val="22"/>
                <w:lang w:eastAsia="nl-NL"/>
              </w:rPr>
              <w:t>, mechanisms,</w:t>
            </w:r>
            <w:r w:rsidRPr="2131C6D3">
              <w:rPr>
                <w:rFonts w:asciiTheme="minorHAnsi" w:eastAsiaTheme="minorEastAsia" w:hAnsiTheme="minorHAnsi" w:cstheme="minorBidi"/>
                <w:color w:val="000000" w:themeColor="text1"/>
                <w:sz w:val="22"/>
                <w:szCs w:val="22"/>
                <w:lang w:eastAsia="nl-NL"/>
              </w:rPr>
              <w:t xml:space="preserve"> and potential intervention</w:t>
            </w:r>
            <w:r w:rsidRPr="0A1F4303">
              <w:rPr>
                <w:rFonts w:eastAsiaTheme="minorEastAsia"/>
                <w:color w:val="000000" w:themeColor="text1"/>
                <w:sz w:val="22"/>
                <w:szCs w:val="22"/>
                <w:lang w:eastAsia="nl-NL"/>
              </w:rPr>
              <w:t>s targeting (de)</w:t>
            </w:r>
            <w:proofErr w:type="spellStart"/>
            <w:r w:rsidRPr="0A1F4303">
              <w:rPr>
                <w:rFonts w:eastAsiaTheme="minorEastAsia"/>
                <w:color w:val="000000" w:themeColor="text1"/>
                <w:sz w:val="22"/>
                <w:szCs w:val="22"/>
                <w:lang w:eastAsia="nl-NL"/>
              </w:rPr>
              <w:t>p</w:t>
            </w:r>
            <w:r w:rsidR="00EB7FFB">
              <w:rPr>
                <w:rFonts w:eastAsiaTheme="minorEastAsia"/>
                <w:color w:val="000000" w:themeColor="text1"/>
                <w:sz w:val="22"/>
                <w:szCs w:val="22"/>
                <w:lang w:eastAsia="nl-NL"/>
              </w:rPr>
              <w:t>olarisation</w:t>
            </w:r>
            <w:proofErr w:type="spellEnd"/>
            <w:r w:rsidRPr="2131C6D3">
              <w:rPr>
                <w:rFonts w:asciiTheme="minorHAnsi" w:eastAsiaTheme="minorEastAsia" w:hAnsiTheme="minorHAnsi" w:cstheme="minorBidi"/>
                <w:color w:val="000000" w:themeColor="text1"/>
                <w:sz w:val="22"/>
                <w:szCs w:val="22"/>
                <w:lang w:eastAsia="nl-NL"/>
              </w:rPr>
              <w:t xml:space="preserve"> at the </w:t>
            </w:r>
            <w:r w:rsidRPr="0A1F4303">
              <w:rPr>
                <w:rFonts w:eastAsiaTheme="minorEastAsia"/>
                <w:color w:val="000000" w:themeColor="text1"/>
                <w:sz w:val="22"/>
                <w:szCs w:val="22"/>
                <w:lang w:eastAsia="nl-NL"/>
              </w:rPr>
              <w:t>cognitive/individual, social/group, and societal levels</w:t>
            </w:r>
            <w:r w:rsidRPr="2131C6D3">
              <w:rPr>
                <w:rFonts w:asciiTheme="minorHAnsi" w:eastAsiaTheme="minorEastAsia" w:hAnsiTheme="minorHAnsi" w:cstheme="minorBidi"/>
                <w:color w:val="000000" w:themeColor="text1"/>
                <w:sz w:val="22"/>
                <w:szCs w:val="22"/>
                <w:lang w:eastAsia="nl-NL"/>
              </w:rPr>
              <w:t>.</w:t>
            </w:r>
            <w:r w:rsidRPr="0A1F4303">
              <w:rPr>
                <w:rFonts w:eastAsiaTheme="minorEastAsia"/>
                <w:color w:val="000000" w:themeColor="text1"/>
                <w:sz w:val="22"/>
                <w:szCs w:val="22"/>
                <w:lang w:eastAsia="nl-NL"/>
              </w:rPr>
              <w:t xml:space="preserve"> To this end, a seed grant program is available to FMG researchers interested in these issues.</w:t>
            </w:r>
            <w:r w:rsidRPr="2131C6D3">
              <w:rPr>
                <w:rFonts w:asciiTheme="minorHAnsi" w:eastAsiaTheme="minorEastAsia" w:hAnsiTheme="minorHAnsi" w:cstheme="minorBidi"/>
                <w:color w:val="000000" w:themeColor="text1"/>
                <w:sz w:val="22"/>
                <w:szCs w:val="22"/>
                <w:lang w:eastAsia="nl-NL"/>
              </w:rPr>
              <w:t xml:space="preserve"> </w:t>
            </w:r>
          </w:p>
          <w:p w14:paraId="6FCCC9C3" w14:textId="37390797" w:rsidR="38EB5501" w:rsidRDefault="38EB5501" w:rsidP="38EB5501">
            <w:pPr>
              <w:shd w:val="clear" w:color="auto" w:fill="FFFFFF" w:themeFill="background1"/>
              <w:rPr>
                <w:rFonts w:asciiTheme="minorHAnsi" w:eastAsiaTheme="minorEastAsia" w:hAnsiTheme="minorHAnsi" w:cstheme="minorBidi"/>
                <w:color w:val="000000" w:themeColor="text1"/>
                <w:sz w:val="22"/>
                <w:szCs w:val="22"/>
                <w:lang w:eastAsia="nl-NL"/>
              </w:rPr>
            </w:pPr>
          </w:p>
          <w:p w14:paraId="08D903F0" w14:textId="54B13C96" w:rsidR="5A03C6B3" w:rsidRDefault="5A03C6B3" w:rsidP="38EB5501">
            <w:pPr>
              <w:shd w:val="clear" w:color="auto" w:fill="FFFFFF" w:themeFill="background1"/>
              <w:rPr>
                <w:rFonts w:asciiTheme="minorHAnsi" w:eastAsiaTheme="minorEastAsia" w:hAnsiTheme="minorHAnsi" w:cstheme="minorBidi"/>
                <w:color w:val="000000" w:themeColor="text1"/>
                <w:sz w:val="22"/>
                <w:szCs w:val="22"/>
                <w:lang w:eastAsia="nl-NL"/>
              </w:rPr>
            </w:pPr>
            <w:r w:rsidRPr="38EB5501">
              <w:rPr>
                <w:rFonts w:asciiTheme="minorHAnsi" w:eastAsiaTheme="minorEastAsia" w:hAnsiTheme="minorHAnsi" w:cstheme="minorBidi"/>
                <w:color w:val="000000" w:themeColor="text1"/>
                <w:sz w:val="22"/>
                <w:szCs w:val="22"/>
                <w:lang w:eastAsia="nl-NL"/>
              </w:rPr>
              <w:t xml:space="preserve">Seed grants will be made available in two steps: </w:t>
            </w:r>
          </w:p>
          <w:p w14:paraId="7923A2D7" w14:textId="1B8D3820" w:rsidR="5A03C6B3" w:rsidRDefault="5A03C6B3" w:rsidP="38EB5501">
            <w:r w:rsidRPr="38EB5501">
              <w:rPr>
                <w:rFonts w:asciiTheme="minorHAnsi" w:eastAsiaTheme="minorEastAsia" w:hAnsiTheme="minorHAnsi" w:cstheme="minorBidi"/>
                <w:color w:val="000000" w:themeColor="text1"/>
                <w:sz w:val="22"/>
                <w:szCs w:val="22"/>
                <w:lang w:eastAsia="nl-NL"/>
              </w:rPr>
              <w:t xml:space="preserve"> </w:t>
            </w:r>
          </w:p>
          <w:p w14:paraId="46AB8C8E" w14:textId="46A70C10" w:rsidR="006D58F0" w:rsidRPr="0074208B" w:rsidRDefault="5A03C6B3" w:rsidP="00CB0467">
            <w:pPr>
              <w:pStyle w:val="ListParagraph"/>
              <w:numPr>
                <w:ilvl w:val="0"/>
                <w:numId w:val="13"/>
              </w:numPr>
              <w:rPr>
                <w:rFonts w:eastAsiaTheme="minorEastAsia"/>
                <w:color w:val="000000" w:themeColor="text1"/>
                <w:lang w:eastAsia="nl-NL"/>
              </w:rPr>
            </w:pPr>
            <w:r w:rsidRPr="0074208B">
              <w:rPr>
                <w:rFonts w:asciiTheme="minorHAnsi" w:eastAsiaTheme="minorEastAsia" w:hAnsiTheme="minorHAnsi" w:cstheme="minorBidi"/>
                <w:b/>
                <w:bCs/>
                <w:color w:val="000000" w:themeColor="text1"/>
                <w:sz w:val="22"/>
                <w:szCs w:val="22"/>
                <w:lang w:eastAsia="nl-NL"/>
              </w:rPr>
              <w:t>2023 Pilot</w:t>
            </w:r>
            <w:r w:rsidR="00F27187" w:rsidRPr="0074208B">
              <w:rPr>
                <w:rFonts w:asciiTheme="minorHAnsi" w:eastAsiaTheme="minorEastAsia" w:hAnsiTheme="minorHAnsi" w:cstheme="minorBidi"/>
                <w:b/>
                <w:bCs/>
                <w:color w:val="000000" w:themeColor="text1"/>
                <w:sz w:val="22"/>
                <w:szCs w:val="22"/>
                <w:lang w:eastAsia="nl-NL"/>
              </w:rPr>
              <w:t xml:space="preserve"> Grants</w:t>
            </w:r>
            <w:r w:rsidR="003E7422" w:rsidRPr="0074208B">
              <w:rPr>
                <w:rFonts w:asciiTheme="minorHAnsi" w:eastAsiaTheme="minorEastAsia" w:hAnsiTheme="minorHAnsi" w:cstheme="minorBidi"/>
                <w:b/>
                <w:bCs/>
                <w:color w:val="000000" w:themeColor="text1"/>
                <w:sz w:val="22"/>
                <w:szCs w:val="22"/>
                <w:lang w:eastAsia="nl-NL"/>
              </w:rPr>
              <w:t xml:space="preserve"> &amp; Matchmaking</w:t>
            </w:r>
            <w:r w:rsidRPr="0074208B">
              <w:rPr>
                <w:rFonts w:asciiTheme="minorHAnsi" w:eastAsiaTheme="minorEastAsia" w:hAnsiTheme="minorHAnsi" w:cstheme="minorBidi"/>
                <w:b/>
                <w:bCs/>
                <w:color w:val="000000" w:themeColor="text1"/>
                <w:sz w:val="22"/>
                <w:szCs w:val="22"/>
                <w:lang w:eastAsia="nl-NL"/>
              </w:rPr>
              <w:t>:</w:t>
            </w:r>
            <w:r w:rsidRPr="0074208B">
              <w:rPr>
                <w:rFonts w:asciiTheme="minorHAnsi" w:eastAsiaTheme="minorEastAsia" w:hAnsiTheme="minorHAnsi" w:cstheme="minorBidi"/>
                <w:color w:val="000000" w:themeColor="text1"/>
                <w:sz w:val="22"/>
                <w:szCs w:val="22"/>
                <w:lang w:eastAsia="nl-NL"/>
              </w:rPr>
              <w:t xml:space="preserve"> In</w:t>
            </w:r>
            <w:r w:rsidR="00D33195" w:rsidRPr="0074208B">
              <w:rPr>
                <w:rFonts w:asciiTheme="minorHAnsi" w:eastAsiaTheme="minorEastAsia" w:hAnsiTheme="minorHAnsi" w:cstheme="minorBidi"/>
                <w:color w:val="000000" w:themeColor="text1"/>
                <w:sz w:val="22"/>
                <w:szCs w:val="22"/>
                <w:lang w:eastAsia="nl-NL"/>
              </w:rPr>
              <w:t xml:space="preserve"> a set-up phase lasting until the end of</w:t>
            </w:r>
            <w:r w:rsidRPr="0074208B">
              <w:rPr>
                <w:rFonts w:asciiTheme="minorHAnsi" w:eastAsiaTheme="minorEastAsia" w:hAnsiTheme="minorHAnsi" w:cstheme="minorBidi"/>
                <w:color w:val="000000" w:themeColor="text1"/>
                <w:sz w:val="22"/>
                <w:szCs w:val="22"/>
                <w:lang w:eastAsia="nl-NL"/>
              </w:rPr>
              <w:t xml:space="preserve"> 2023, the RPA aims to foster the formation of interdisciplinary teams and support the development of new research lines around </w:t>
            </w:r>
            <w:proofErr w:type="spellStart"/>
            <w:r w:rsidRPr="0074208B">
              <w:rPr>
                <w:rFonts w:asciiTheme="minorHAnsi" w:eastAsiaTheme="minorEastAsia" w:hAnsiTheme="minorHAnsi" w:cstheme="minorBidi"/>
                <w:color w:val="000000" w:themeColor="text1"/>
                <w:sz w:val="22"/>
                <w:szCs w:val="22"/>
                <w:lang w:eastAsia="nl-NL"/>
              </w:rPr>
              <w:t>p</w:t>
            </w:r>
            <w:r w:rsidR="00EB7FFB">
              <w:rPr>
                <w:rFonts w:asciiTheme="minorHAnsi" w:eastAsiaTheme="minorEastAsia" w:hAnsiTheme="minorHAnsi" w:cstheme="minorBidi"/>
                <w:color w:val="000000" w:themeColor="text1"/>
                <w:sz w:val="22"/>
                <w:szCs w:val="22"/>
                <w:lang w:eastAsia="nl-NL"/>
              </w:rPr>
              <w:t>olarisation</w:t>
            </w:r>
            <w:proofErr w:type="spellEnd"/>
            <w:r w:rsidR="004D7CD9" w:rsidRPr="0074208B">
              <w:rPr>
                <w:rFonts w:asciiTheme="minorHAnsi" w:eastAsiaTheme="minorEastAsia" w:hAnsiTheme="minorHAnsi" w:cstheme="minorBidi"/>
                <w:color w:val="000000" w:themeColor="text1"/>
                <w:sz w:val="22"/>
                <w:szCs w:val="22"/>
                <w:lang w:eastAsia="nl-NL"/>
              </w:rPr>
              <w:t>, possibly including initial empirical tests</w:t>
            </w:r>
            <w:r w:rsidR="0074208B" w:rsidRPr="0074208B">
              <w:rPr>
                <w:rFonts w:asciiTheme="minorHAnsi" w:eastAsiaTheme="minorEastAsia" w:hAnsiTheme="minorHAnsi" w:cstheme="minorBidi"/>
                <w:color w:val="000000" w:themeColor="text1"/>
                <w:sz w:val="22"/>
                <w:szCs w:val="22"/>
                <w:lang w:eastAsia="nl-NL"/>
              </w:rPr>
              <w:t xml:space="preserve"> or exploration</w:t>
            </w:r>
            <w:r w:rsidRPr="0074208B">
              <w:rPr>
                <w:rFonts w:asciiTheme="minorHAnsi" w:eastAsiaTheme="minorEastAsia" w:hAnsiTheme="minorHAnsi" w:cstheme="minorBidi"/>
                <w:color w:val="000000" w:themeColor="text1"/>
                <w:sz w:val="22"/>
                <w:szCs w:val="22"/>
                <w:lang w:eastAsia="nl-NL"/>
              </w:rPr>
              <w:t xml:space="preserve">. </w:t>
            </w:r>
          </w:p>
          <w:p w14:paraId="090E0736" w14:textId="77777777" w:rsidR="0074208B" w:rsidRPr="0074208B" w:rsidRDefault="0074208B" w:rsidP="0074208B">
            <w:pPr>
              <w:pStyle w:val="ListParagraph"/>
              <w:rPr>
                <w:rFonts w:eastAsiaTheme="minorEastAsia"/>
                <w:color w:val="000000" w:themeColor="text1"/>
                <w:lang w:eastAsia="nl-NL"/>
              </w:rPr>
            </w:pPr>
          </w:p>
          <w:p w14:paraId="380F7910" w14:textId="74F6FCDD" w:rsidR="5A03C6B3" w:rsidRPr="006D58F0" w:rsidRDefault="5A03C6B3" w:rsidP="006D58F0">
            <w:pPr>
              <w:pStyle w:val="ListParagraph"/>
              <w:rPr>
                <w:rFonts w:asciiTheme="minorHAnsi" w:eastAsiaTheme="minorEastAsia" w:hAnsiTheme="minorHAnsi" w:cstheme="minorBidi"/>
                <w:color w:val="000000" w:themeColor="text1"/>
                <w:sz w:val="22"/>
                <w:szCs w:val="22"/>
                <w:lang w:eastAsia="nl-NL"/>
              </w:rPr>
            </w:pPr>
            <w:r w:rsidRPr="006D58F0">
              <w:rPr>
                <w:rFonts w:eastAsiaTheme="minorEastAsia"/>
                <w:color w:val="000000" w:themeColor="text1"/>
                <w:sz w:val="22"/>
                <w:szCs w:val="22"/>
                <w:lang w:eastAsia="nl-NL"/>
              </w:rPr>
              <w:t xml:space="preserve">Individual researchers or collaborating researchers can apply for the 2023 </w:t>
            </w:r>
            <w:r w:rsidR="00847642">
              <w:rPr>
                <w:rFonts w:eastAsiaTheme="minorEastAsia"/>
                <w:color w:val="000000" w:themeColor="text1"/>
                <w:sz w:val="22"/>
                <w:szCs w:val="22"/>
                <w:lang w:eastAsia="nl-NL"/>
              </w:rPr>
              <w:t xml:space="preserve">pilot </w:t>
            </w:r>
            <w:r w:rsidRPr="006D58F0">
              <w:rPr>
                <w:rFonts w:eastAsiaTheme="minorEastAsia"/>
                <w:color w:val="000000" w:themeColor="text1"/>
                <w:sz w:val="22"/>
                <w:szCs w:val="22"/>
                <w:lang w:eastAsia="nl-NL"/>
              </w:rPr>
              <w:t>seed</w:t>
            </w:r>
            <w:r w:rsidR="006D58F0" w:rsidRPr="006D58F0">
              <w:rPr>
                <w:rFonts w:eastAsiaTheme="minorEastAsia"/>
                <w:color w:val="000000" w:themeColor="text1"/>
                <w:sz w:val="22"/>
                <w:szCs w:val="22"/>
                <w:lang w:eastAsia="nl-NL"/>
              </w:rPr>
              <w:t xml:space="preserve"> </w:t>
            </w:r>
            <w:r w:rsidRPr="006D58F0">
              <w:rPr>
                <w:rFonts w:eastAsiaTheme="minorEastAsia"/>
                <w:color w:val="000000" w:themeColor="text1"/>
                <w:sz w:val="22"/>
                <w:szCs w:val="22"/>
                <w:lang w:eastAsia="nl-NL"/>
              </w:rPr>
              <w:t>grant round, to start working towards</w:t>
            </w:r>
            <w:r w:rsidR="00283FD7">
              <w:rPr>
                <w:rFonts w:eastAsiaTheme="minorEastAsia"/>
                <w:color w:val="000000" w:themeColor="text1"/>
                <w:sz w:val="22"/>
                <w:szCs w:val="22"/>
                <w:lang w:eastAsia="nl-NL"/>
              </w:rPr>
              <w:t xml:space="preserve"> impactful project ideas and</w:t>
            </w:r>
            <w:r w:rsidRPr="006D58F0">
              <w:rPr>
                <w:rFonts w:eastAsiaTheme="minorEastAsia"/>
                <w:color w:val="000000" w:themeColor="text1"/>
                <w:sz w:val="22"/>
                <w:szCs w:val="22"/>
                <w:lang w:eastAsia="nl-NL"/>
              </w:rPr>
              <w:t xml:space="preserve"> broader interdisciplinary collaboration. The RPA provides approximately 10 small pilot grants (max. 5.000 Euros per project)</w:t>
            </w:r>
            <w:r w:rsidR="000E7BC1">
              <w:rPr>
                <w:rFonts w:eastAsiaTheme="minorEastAsia"/>
                <w:color w:val="000000" w:themeColor="text1"/>
                <w:sz w:val="22"/>
                <w:szCs w:val="22"/>
                <w:lang w:eastAsia="nl-NL"/>
              </w:rPr>
              <w:t xml:space="preserve"> to support this phase</w:t>
            </w:r>
            <w:r w:rsidRPr="006D58F0">
              <w:rPr>
                <w:rFonts w:eastAsiaTheme="minorEastAsia"/>
                <w:color w:val="000000" w:themeColor="text1"/>
                <w:sz w:val="22"/>
                <w:szCs w:val="22"/>
                <w:lang w:eastAsia="nl-NL"/>
              </w:rPr>
              <w:t xml:space="preserve">. </w:t>
            </w:r>
            <w:r w:rsidR="000E7BC1">
              <w:rPr>
                <w:rFonts w:eastAsiaTheme="minorEastAsia"/>
                <w:color w:val="000000" w:themeColor="text1"/>
                <w:sz w:val="22"/>
                <w:szCs w:val="22"/>
                <w:lang w:eastAsia="nl-NL"/>
              </w:rPr>
              <w:t>In addition, to foster the formation of interdisciplinary collaborations,</w:t>
            </w:r>
            <w:r w:rsidRPr="006D58F0">
              <w:rPr>
                <w:rFonts w:eastAsiaTheme="minorEastAsia"/>
                <w:color w:val="000000" w:themeColor="text1"/>
                <w:sz w:val="22"/>
                <w:szCs w:val="22"/>
                <w:lang w:eastAsia="nl-NL"/>
              </w:rPr>
              <w:t xml:space="preserve"> the RPA will organize at least one match making event</w:t>
            </w:r>
            <w:r w:rsidR="00E16DA7">
              <w:rPr>
                <w:rFonts w:eastAsiaTheme="minorEastAsia"/>
                <w:color w:val="000000" w:themeColor="text1"/>
                <w:sz w:val="22"/>
                <w:szCs w:val="22"/>
                <w:lang w:eastAsia="nl-NL"/>
              </w:rPr>
              <w:t xml:space="preserve"> in 2023</w:t>
            </w:r>
            <w:r w:rsidRPr="006D58F0">
              <w:rPr>
                <w:rFonts w:eastAsiaTheme="minorEastAsia"/>
                <w:color w:val="000000" w:themeColor="text1"/>
                <w:sz w:val="22"/>
                <w:szCs w:val="22"/>
                <w:lang w:eastAsia="nl-NL"/>
              </w:rPr>
              <w:t xml:space="preserve">, where the recipients of </w:t>
            </w:r>
            <w:r w:rsidR="00E16DA7">
              <w:rPr>
                <w:rFonts w:eastAsiaTheme="minorEastAsia"/>
                <w:color w:val="000000" w:themeColor="text1"/>
                <w:sz w:val="22"/>
                <w:szCs w:val="22"/>
                <w:lang w:eastAsia="nl-NL"/>
              </w:rPr>
              <w:t>the pilot seed</w:t>
            </w:r>
            <w:r w:rsidRPr="006D58F0">
              <w:rPr>
                <w:rFonts w:eastAsiaTheme="minorEastAsia"/>
                <w:color w:val="000000" w:themeColor="text1"/>
                <w:sz w:val="22"/>
                <w:szCs w:val="22"/>
                <w:lang w:eastAsia="nl-NL"/>
              </w:rPr>
              <w:t xml:space="preserve"> </w:t>
            </w:r>
            <w:proofErr w:type="gramStart"/>
            <w:r w:rsidRPr="006D58F0">
              <w:rPr>
                <w:rFonts w:eastAsiaTheme="minorEastAsia"/>
                <w:color w:val="000000" w:themeColor="text1"/>
                <w:sz w:val="22"/>
                <w:szCs w:val="22"/>
                <w:lang w:eastAsia="nl-NL"/>
              </w:rPr>
              <w:t>grant</w:t>
            </w:r>
            <w:r w:rsidR="00E16DA7">
              <w:rPr>
                <w:rFonts w:eastAsiaTheme="minorEastAsia"/>
                <w:color w:val="000000" w:themeColor="text1"/>
                <w:sz w:val="22"/>
                <w:szCs w:val="22"/>
                <w:lang w:eastAsia="nl-NL"/>
              </w:rPr>
              <w:t>s</w:t>
            </w:r>
            <w:proofErr w:type="gramEnd"/>
            <w:r w:rsidRPr="006D58F0">
              <w:rPr>
                <w:rFonts w:eastAsiaTheme="minorEastAsia"/>
                <w:color w:val="000000" w:themeColor="text1"/>
                <w:sz w:val="22"/>
                <w:szCs w:val="22"/>
                <w:lang w:eastAsia="nl-NL"/>
              </w:rPr>
              <w:t xml:space="preserve"> and other interested parties can present their research ideas to the wider RPA community</w:t>
            </w:r>
            <w:r w:rsidR="004032CE">
              <w:rPr>
                <w:rFonts w:eastAsiaTheme="minorEastAsia"/>
                <w:color w:val="000000" w:themeColor="text1"/>
                <w:sz w:val="22"/>
                <w:szCs w:val="22"/>
                <w:lang w:eastAsia="nl-NL"/>
              </w:rPr>
              <w:t xml:space="preserve"> and find interdisciplinary collaborators to further </w:t>
            </w:r>
            <w:r w:rsidR="00756DD4">
              <w:rPr>
                <w:rFonts w:eastAsiaTheme="minorEastAsia"/>
                <w:color w:val="000000" w:themeColor="text1"/>
                <w:sz w:val="22"/>
                <w:szCs w:val="22"/>
                <w:lang w:eastAsia="nl-NL"/>
              </w:rPr>
              <w:t>enrichen</w:t>
            </w:r>
            <w:r w:rsidR="004032CE">
              <w:rPr>
                <w:rFonts w:eastAsiaTheme="minorEastAsia"/>
                <w:color w:val="000000" w:themeColor="text1"/>
                <w:sz w:val="22"/>
                <w:szCs w:val="22"/>
                <w:lang w:eastAsia="nl-NL"/>
              </w:rPr>
              <w:t xml:space="preserve"> their </w:t>
            </w:r>
            <w:proofErr w:type="spellStart"/>
            <w:r w:rsidR="004032CE">
              <w:rPr>
                <w:rFonts w:eastAsiaTheme="minorEastAsia"/>
                <w:color w:val="000000" w:themeColor="text1"/>
                <w:sz w:val="22"/>
                <w:szCs w:val="22"/>
                <w:lang w:eastAsia="nl-NL"/>
              </w:rPr>
              <w:t>p</w:t>
            </w:r>
            <w:r w:rsidR="00EB7FFB">
              <w:rPr>
                <w:rFonts w:eastAsiaTheme="minorEastAsia"/>
                <w:color w:val="000000" w:themeColor="text1"/>
                <w:sz w:val="22"/>
                <w:szCs w:val="22"/>
                <w:lang w:eastAsia="nl-NL"/>
              </w:rPr>
              <w:t>olarisation</w:t>
            </w:r>
            <w:proofErr w:type="spellEnd"/>
            <w:r w:rsidR="004032CE">
              <w:rPr>
                <w:rFonts w:eastAsiaTheme="minorEastAsia"/>
                <w:color w:val="000000" w:themeColor="text1"/>
                <w:sz w:val="22"/>
                <w:szCs w:val="22"/>
                <w:lang w:eastAsia="nl-NL"/>
              </w:rPr>
              <w:t>-related research lines</w:t>
            </w:r>
            <w:r w:rsidRPr="006D58F0">
              <w:rPr>
                <w:rFonts w:eastAsiaTheme="minorEastAsia"/>
                <w:color w:val="000000" w:themeColor="text1"/>
                <w:sz w:val="22"/>
                <w:szCs w:val="22"/>
                <w:lang w:eastAsia="nl-NL"/>
              </w:rPr>
              <w:t xml:space="preserve">. </w:t>
            </w:r>
          </w:p>
          <w:p w14:paraId="68598EE4" w14:textId="587730D3" w:rsidR="38EB5501" w:rsidRDefault="38EB5501" w:rsidP="38EB5501">
            <w:pPr>
              <w:rPr>
                <w:rFonts w:asciiTheme="minorHAnsi" w:eastAsiaTheme="minorEastAsia" w:hAnsiTheme="minorHAnsi" w:cstheme="minorBidi"/>
                <w:color w:val="000000" w:themeColor="text1"/>
                <w:sz w:val="22"/>
                <w:szCs w:val="22"/>
                <w:lang w:eastAsia="nl-NL"/>
              </w:rPr>
            </w:pPr>
          </w:p>
          <w:p w14:paraId="04DEDCE3" w14:textId="01331E71" w:rsidR="5A03C6B3" w:rsidRDefault="5A03C6B3" w:rsidP="38EB5501">
            <w:pPr>
              <w:pStyle w:val="ListParagraph"/>
              <w:numPr>
                <w:ilvl w:val="0"/>
                <w:numId w:val="13"/>
              </w:numPr>
            </w:pPr>
            <w:r w:rsidRPr="00756DD4">
              <w:rPr>
                <w:rFonts w:asciiTheme="minorHAnsi" w:eastAsiaTheme="minorEastAsia" w:hAnsiTheme="minorHAnsi" w:cstheme="minorBidi"/>
                <w:b/>
                <w:bCs/>
                <w:color w:val="000000" w:themeColor="text1"/>
                <w:sz w:val="22"/>
                <w:szCs w:val="22"/>
                <w:lang w:eastAsia="nl-NL"/>
              </w:rPr>
              <w:t>2024 Interdisciplinary Project</w:t>
            </w:r>
            <w:r w:rsidR="00756DD4" w:rsidRPr="00756DD4">
              <w:rPr>
                <w:rFonts w:asciiTheme="minorHAnsi" w:eastAsiaTheme="minorEastAsia" w:hAnsiTheme="minorHAnsi" w:cstheme="minorBidi"/>
                <w:b/>
                <w:bCs/>
                <w:color w:val="000000" w:themeColor="text1"/>
                <w:sz w:val="22"/>
                <w:szCs w:val="22"/>
                <w:lang w:eastAsia="nl-NL"/>
              </w:rPr>
              <w:t xml:space="preserve"> Grants</w:t>
            </w:r>
            <w:r w:rsidRPr="38EB5501">
              <w:rPr>
                <w:rFonts w:asciiTheme="minorHAnsi" w:eastAsiaTheme="minorEastAsia" w:hAnsiTheme="minorHAnsi" w:cstheme="minorBidi"/>
                <w:color w:val="000000" w:themeColor="text1"/>
                <w:sz w:val="22"/>
                <w:szCs w:val="22"/>
                <w:lang w:eastAsia="nl-NL"/>
              </w:rPr>
              <w:t>: In 2024, larger project grants of approximately 20.000 Euros will be made available</w:t>
            </w:r>
            <w:r w:rsidR="00FC0073">
              <w:rPr>
                <w:rFonts w:asciiTheme="minorHAnsi" w:eastAsiaTheme="minorEastAsia" w:hAnsiTheme="minorHAnsi" w:cstheme="minorBidi"/>
                <w:color w:val="000000" w:themeColor="text1"/>
                <w:sz w:val="22"/>
                <w:szCs w:val="22"/>
                <w:lang w:eastAsia="nl-NL"/>
              </w:rPr>
              <w:t xml:space="preserve"> for interdisciplinary research on (de)</w:t>
            </w:r>
            <w:proofErr w:type="spellStart"/>
            <w:r w:rsidR="00FC0073">
              <w:rPr>
                <w:rFonts w:asciiTheme="minorHAnsi" w:eastAsiaTheme="minorEastAsia" w:hAnsiTheme="minorHAnsi" w:cstheme="minorBidi"/>
                <w:color w:val="000000" w:themeColor="text1"/>
                <w:sz w:val="22"/>
                <w:szCs w:val="22"/>
                <w:lang w:eastAsia="nl-NL"/>
              </w:rPr>
              <w:t>p</w:t>
            </w:r>
            <w:r w:rsidR="00EB7FFB">
              <w:rPr>
                <w:rFonts w:asciiTheme="minorHAnsi" w:eastAsiaTheme="minorEastAsia" w:hAnsiTheme="minorHAnsi" w:cstheme="minorBidi"/>
                <w:color w:val="000000" w:themeColor="text1"/>
                <w:sz w:val="22"/>
                <w:szCs w:val="22"/>
                <w:lang w:eastAsia="nl-NL"/>
              </w:rPr>
              <w:t>olarisation</w:t>
            </w:r>
            <w:proofErr w:type="spellEnd"/>
            <w:r w:rsidRPr="38EB5501">
              <w:rPr>
                <w:rFonts w:asciiTheme="minorHAnsi" w:eastAsiaTheme="minorEastAsia" w:hAnsiTheme="minorHAnsi" w:cstheme="minorBidi"/>
                <w:color w:val="000000" w:themeColor="text1"/>
                <w:sz w:val="22"/>
                <w:szCs w:val="22"/>
                <w:lang w:eastAsia="nl-NL"/>
              </w:rPr>
              <w:t xml:space="preserve"> through a new call for applications. Details will be announced in the course of 2023.</w:t>
            </w:r>
          </w:p>
          <w:p w14:paraId="06834CFF" w14:textId="77777777" w:rsidR="008F0056" w:rsidRDefault="008F0056" w:rsidP="00CB0467">
            <w:pPr>
              <w:shd w:val="clear" w:color="auto" w:fill="FFFFFF" w:themeFill="background1"/>
              <w:rPr>
                <w:rFonts w:eastAsiaTheme="minorEastAsia"/>
                <w:color w:val="000000" w:themeColor="text1"/>
                <w:sz w:val="22"/>
                <w:szCs w:val="22"/>
                <w:lang w:eastAsia="nl-NL"/>
              </w:rPr>
            </w:pPr>
          </w:p>
          <w:p w14:paraId="7A8094FA" w14:textId="77777777" w:rsidR="008F0056" w:rsidRDefault="008F0056" w:rsidP="00CB0467">
            <w:pPr>
              <w:rPr>
                <w:rFonts w:eastAsiaTheme="minorEastAsia"/>
                <w:b/>
                <w:bCs/>
                <w:color w:val="000000" w:themeColor="text1"/>
                <w:lang w:eastAsia="nl-NL"/>
              </w:rPr>
            </w:pPr>
          </w:p>
        </w:tc>
      </w:tr>
    </w:tbl>
    <w:p w14:paraId="789AD57C" w14:textId="77777777" w:rsidR="00FC0073" w:rsidRDefault="00CB2093" w:rsidP="00CB2093">
      <w:pPr>
        <w:jc w:val="center"/>
        <w:rPr>
          <w:b/>
          <w:bCs/>
          <w:lang w:val="en-US"/>
        </w:rPr>
      </w:pPr>
      <w:r>
        <w:rPr>
          <w:b/>
          <w:bCs/>
          <w:lang w:val="en-US"/>
        </w:rPr>
        <w:br/>
      </w:r>
    </w:p>
    <w:p w14:paraId="113DA9E6" w14:textId="77777777" w:rsidR="00FC0073" w:rsidRDefault="00FC0073" w:rsidP="00CB2093">
      <w:pPr>
        <w:jc w:val="center"/>
        <w:rPr>
          <w:b/>
          <w:bCs/>
          <w:lang w:val="en-US"/>
        </w:rPr>
      </w:pPr>
    </w:p>
    <w:p w14:paraId="2464D630" w14:textId="77777777" w:rsidR="00FC0073" w:rsidRDefault="00FC0073" w:rsidP="00CB2093">
      <w:pPr>
        <w:jc w:val="center"/>
        <w:rPr>
          <w:b/>
          <w:bCs/>
          <w:lang w:val="en-US"/>
        </w:rPr>
      </w:pPr>
    </w:p>
    <w:p w14:paraId="18B2EB69" w14:textId="77777777" w:rsidR="00FC0073" w:rsidRDefault="00FC0073" w:rsidP="00CB2093">
      <w:pPr>
        <w:jc w:val="center"/>
        <w:rPr>
          <w:b/>
          <w:bCs/>
          <w:lang w:val="en-US"/>
        </w:rPr>
      </w:pPr>
    </w:p>
    <w:p w14:paraId="7E45976C" w14:textId="77777777" w:rsidR="00FC0073" w:rsidRDefault="00FC0073" w:rsidP="00CB2093">
      <w:pPr>
        <w:jc w:val="center"/>
        <w:rPr>
          <w:b/>
          <w:bCs/>
          <w:lang w:val="en-US"/>
        </w:rPr>
      </w:pPr>
    </w:p>
    <w:p w14:paraId="01D21B3E" w14:textId="22FDD0F2" w:rsidR="008F0056" w:rsidRPr="001F34C2" w:rsidRDefault="001F34C2" w:rsidP="00CB2093">
      <w:pPr>
        <w:jc w:val="center"/>
        <w:rPr>
          <w:b/>
          <w:bCs/>
          <w:lang w:val="en-US"/>
        </w:rPr>
      </w:pPr>
      <w:r w:rsidRPr="001F34C2">
        <w:rPr>
          <w:b/>
          <w:bCs/>
          <w:lang w:val="en-US"/>
        </w:rPr>
        <w:t xml:space="preserve">Call for Applications Pilot </w:t>
      </w:r>
      <w:r>
        <w:rPr>
          <w:b/>
          <w:bCs/>
          <w:lang w:val="en-US"/>
        </w:rPr>
        <w:t>Grants 2023</w:t>
      </w:r>
    </w:p>
    <w:tbl>
      <w:tblPr>
        <w:tblStyle w:val="TableGrid"/>
        <w:tblW w:w="0" w:type="auto"/>
        <w:tblLook w:val="04A0" w:firstRow="1" w:lastRow="0" w:firstColumn="1" w:lastColumn="0" w:noHBand="0" w:noVBand="1"/>
      </w:tblPr>
      <w:tblGrid>
        <w:gridCol w:w="1413"/>
        <w:gridCol w:w="7506"/>
      </w:tblGrid>
      <w:tr w:rsidR="008F0056" w:rsidRPr="00AF2152" w14:paraId="2BF1BC93" w14:textId="77777777" w:rsidTr="00CB2093">
        <w:trPr>
          <w:trHeight w:val="2036"/>
        </w:trPr>
        <w:tc>
          <w:tcPr>
            <w:tcW w:w="1413" w:type="dxa"/>
          </w:tcPr>
          <w:p w14:paraId="746BC9B3" w14:textId="77777777" w:rsidR="008F0056" w:rsidRDefault="008F0056" w:rsidP="00CB0467">
            <w:pPr>
              <w:rPr>
                <w:b/>
                <w:bCs/>
              </w:rPr>
            </w:pPr>
            <w:r>
              <w:rPr>
                <w:b/>
                <w:bCs/>
              </w:rPr>
              <w:t>Who and What</w:t>
            </w:r>
          </w:p>
        </w:tc>
        <w:tc>
          <w:tcPr>
            <w:tcW w:w="7506" w:type="dxa"/>
          </w:tcPr>
          <w:p w14:paraId="6625D05D" w14:textId="77777777" w:rsidR="008F0056" w:rsidRPr="002B1D8B" w:rsidRDefault="008F0056" w:rsidP="008F0056">
            <w:pPr>
              <w:pStyle w:val="ListParagraph"/>
              <w:numPr>
                <w:ilvl w:val="1"/>
                <w:numId w:val="12"/>
              </w:numPr>
              <w:shd w:val="clear" w:color="auto" w:fill="FFFFFF" w:themeFill="background1"/>
              <w:ind w:left="316" w:hanging="370"/>
              <w:rPr>
                <w:rFonts w:eastAsiaTheme="minorEastAsia"/>
                <w:color w:val="000000" w:themeColor="text1"/>
                <w:sz w:val="22"/>
                <w:szCs w:val="22"/>
                <w:u w:val="single"/>
                <w:lang w:eastAsia="nl-NL"/>
              </w:rPr>
            </w:pPr>
            <w:r w:rsidRPr="0A1F4303">
              <w:rPr>
                <w:rFonts w:eastAsiaTheme="minorEastAsia"/>
                <w:color w:val="000000" w:themeColor="text1"/>
                <w:sz w:val="22"/>
                <w:szCs w:val="22"/>
                <w:lang w:eastAsia="nl-NL"/>
              </w:rPr>
              <w:t>Applicants can request max. 5.000 Euros per project</w:t>
            </w:r>
          </w:p>
          <w:p w14:paraId="53B765C3" w14:textId="68B2B1D0" w:rsidR="008F0056" w:rsidRPr="00604C14" w:rsidRDefault="008F0056" w:rsidP="008F0056">
            <w:pPr>
              <w:pStyle w:val="ListParagraph"/>
              <w:numPr>
                <w:ilvl w:val="1"/>
                <w:numId w:val="12"/>
              </w:numPr>
              <w:shd w:val="clear" w:color="auto" w:fill="FFFFFF" w:themeFill="background1"/>
              <w:ind w:left="316" w:hanging="370"/>
              <w:rPr>
                <w:rFonts w:asciiTheme="minorHAnsi" w:eastAsiaTheme="minorEastAsia" w:hAnsiTheme="minorHAnsi" w:cstheme="minorBidi"/>
                <w:color w:val="000000" w:themeColor="text1"/>
                <w:sz w:val="22"/>
                <w:szCs w:val="22"/>
                <w:lang w:eastAsia="nl-NL"/>
              </w:rPr>
            </w:pPr>
            <w:r w:rsidRPr="47845BE1">
              <w:rPr>
                <w:rFonts w:eastAsiaTheme="minorEastAsia"/>
                <w:color w:val="000000" w:themeColor="text1"/>
                <w:sz w:val="22"/>
                <w:szCs w:val="22"/>
                <w:lang w:eastAsia="nl-NL"/>
              </w:rPr>
              <w:t>Pilot funding can be used</w:t>
            </w:r>
            <w:r w:rsidR="0777DCF8" w:rsidRPr="47845BE1">
              <w:rPr>
                <w:rFonts w:eastAsiaTheme="minorEastAsia"/>
                <w:color w:val="000000" w:themeColor="text1"/>
                <w:sz w:val="22"/>
                <w:szCs w:val="22"/>
                <w:lang w:eastAsia="nl-NL"/>
              </w:rPr>
              <w:t>, among others,</w:t>
            </w:r>
            <w:r w:rsidR="44E168E9" w:rsidRPr="47845BE1">
              <w:rPr>
                <w:rFonts w:eastAsiaTheme="minorEastAsia"/>
                <w:color w:val="000000" w:themeColor="text1"/>
                <w:sz w:val="22"/>
                <w:szCs w:val="22"/>
                <w:lang w:eastAsia="nl-NL"/>
              </w:rPr>
              <w:t xml:space="preserve"> for</w:t>
            </w:r>
            <w:r w:rsidRPr="47845BE1">
              <w:rPr>
                <w:rFonts w:eastAsiaTheme="minorEastAsia"/>
                <w:color w:val="000000" w:themeColor="text1"/>
                <w:sz w:val="22"/>
                <w:szCs w:val="22"/>
                <w:lang w:eastAsia="nl-NL"/>
              </w:rPr>
              <w:t xml:space="preserve"> </w:t>
            </w:r>
            <w:r w:rsidRPr="2131C6D3">
              <w:rPr>
                <w:rFonts w:asciiTheme="minorHAnsi" w:eastAsiaTheme="minorEastAsia" w:hAnsiTheme="minorHAnsi" w:cstheme="minorBidi"/>
                <w:color w:val="000000" w:themeColor="text1"/>
                <w:sz w:val="22"/>
                <w:szCs w:val="22"/>
                <w:lang w:eastAsia="nl-NL"/>
              </w:rPr>
              <w:t xml:space="preserve">participant payments, </w:t>
            </w:r>
            <w:r w:rsidRPr="47845BE1">
              <w:rPr>
                <w:rFonts w:eastAsiaTheme="minorEastAsia"/>
                <w:color w:val="000000" w:themeColor="text1"/>
                <w:sz w:val="22"/>
                <w:szCs w:val="22"/>
                <w:lang w:eastAsia="nl-NL"/>
              </w:rPr>
              <w:t>fielding</w:t>
            </w:r>
            <w:r w:rsidRPr="2131C6D3">
              <w:rPr>
                <w:rFonts w:asciiTheme="minorHAnsi" w:eastAsiaTheme="minorEastAsia" w:hAnsiTheme="minorHAnsi" w:cstheme="minorBidi"/>
                <w:color w:val="000000" w:themeColor="text1"/>
                <w:sz w:val="22"/>
                <w:szCs w:val="22"/>
                <w:lang w:eastAsia="nl-NL"/>
              </w:rPr>
              <w:t xml:space="preserve"> community surveys, </w:t>
            </w:r>
            <w:r w:rsidR="3CA4FF4A" w:rsidRPr="47845BE1">
              <w:rPr>
                <w:rFonts w:asciiTheme="minorHAnsi" w:eastAsiaTheme="minorEastAsia" w:hAnsiTheme="minorHAnsi" w:cstheme="minorBidi"/>
                <w:color w:val="000000" w:themeColor="text1"/>
                <w:sz w:val="22"/>
                <w:szCs w:val="22"/>
                <w:lang w:eastAsia="nl-NL"/>
              </w:rPr>
              <w:t>field visits, research materials,</w:t>
            </w:r>
            <w:r w:rsidRPr="47845BE1">
              <w:rPr>
                <w:rFonts w:asciiTheme="minorHAnsi" w:eastAsiaTheme="minorEastAsia" w:hAnsiTheme="minorHAnsi" w:cstheme="minorBidi"/>
                <w:color w:val="000000" w:themeColor="text1"/>
                <w:sz w:val="22"/>
                <w:szCs w:val="22"/>
                <w:lang w:eastAsia="nl-NL"/>
              </w:rPr>
              <w:t xml:space="preserve"> </w:t>
            </w:r>
            <w:r w:rsidRPr="2131C6D3">
              <w:rPr>
                <w:rFonts w:asciiTheme="minorHAnsi" w:eastAsiaTheme="minorEastAsia" w:hAnsiTheme="minorHAnsi" w:cstheme="minorBidi"/>
                <w:color w:val="000000" w:themeColor="text1"/>
                <w:sz w:val="22"/>
                <w:szCs w:val="22"/>
                <w:lang w:eastAsia="nl-NL"/>
              </w:rPr>
              <w:t>help with data collection (</w:t>
            </w:r>
            <w:r w:rsidRPr="47845BE1">
              <w:rPr>
                <w:rFonts w:eastAsiaTheme="minorEastAsia"/>
                <w:color w:val="000000" w:themeColor="text1"/>
                <w:sz w:val="22"/>
                <w:szCs w:val="22"/>
                <w:lang w:eastAsia="nl-NL"/>
              </w:rPr>
              <w:t>research assist</w:t>
            </w:r>
            <w:r w:rsidR="00E55446">
              <w:rPr>
                <w:rFonts w:eastAsiaTheme="minorEastAsia"/>
                <w:color w:val="000000" w:themeColor="text1"/>
                <w:sz w:val="22"/>
                <w:szCs w:val="22"/>
                <w:lang w:eastAsia="nl-NL"/>
              </w:rPr>
              <w:t>a</w:t>
            </w:r>
            <w:r w:rsidRPr="47845BE1">
              <w:rPr>
                <w:rFonts w:eastAsiaTheme="minorEastAsia"/>
                <w:color w:val="000000" w:themeColor="text1"/>
                <w:sz w:val="22"/>
                <w:szCs w:val="22"/>
                <w:lang w:eastAsia="nl-NL"/>
              </w:rPr>
              <w:t xml:space="preserve">nt </w:t>
            </w:r>
            <w:r w:rsidRPr="2131C6D3">
              <w:rPr>
                <w:rFonts w:asciiTheme="minorHAnsi" w:eastAsiaTheme="minorEastAsia" w:hAnsiTheme="minorHAnsi" w:cstheme="minorBidi"/>
                <w:color w:val="000000" w:themeColor="text1"/>
                <w:sz w:val="22"/>
                <w:szCs w:val="22"/>
                <w:lang w:eastAsia="nl-NL"/>
              </w:rPr>
              <w:t>hours), or computing time</w:t>
            </w:r>
            <w:r w:rsidR="2C8C58E7" w:rsidRPr="47845BE1">
              <w:rPr>
                <w:rFonts w:asciiTheme="minorHAnsi" w:eastAsiaTheme="minorEastAsia" w:hAnsiTheme="minorHAnsi" w:cstheme="minorBidi"/>
                <w:color w:val="000000" w:themeColor="text1"/>
                <w:sz w:val="22"/>
                <w:szCs w:val="22"/>
                <w:lang w:eastAsia="nl-NL"/>
              </w:rPr>
              <w:t xml:space="preserve">. </w:t>
            </w:r>
            <w:r w:rsidR="00272A89">
              <w:rPr>
                <w:rFonts w:asciiTheme="minorHAnsi" w:eastAsiaTheme="minorEastAsia" w:hAnsiTheme="minorHAnsi" w:cstheme="minorBidi"/>
                <w:color w:val="000000" w:themeColor="text1"/>
                <w:sz w:val="22"/>
                <w:szCs w:val="22"/>
                <w:lang w:eastAsia="nl-NL"/>
              </w:rPr>
              <w:t xml:space="preserve">Funding can be used for new projects or </w:t>
            </w:r>
            <w:r w:rsidR="005408CF">
              <w:rPr>
                <w:rFonts w:asciiTheme="minorHAnsi" w:eastAsiaTheme="minorEastAsia" w:hAnsiTheme="minorHAnsi" w:cstheme="minorBidi"/>
                <w:color w:val="000000" w:themeColor="text1"/>
                <w:sz w:val="22"/>
                <w:szCs w:val="22"/>
                <w:lang w:eastAsia="nl-NL"/>
              </w:rPr>
              <w:t>to add a new, (de)</w:t>
            </w:r>
            <w:proofErr w:type="spellStart"/>
            <w:r w:rsidR="005408CF">
              <w:rPr>
                <w:rFonts w:asciiTheme="minorHAnsi" w:eastAsiaTheme="minorEastAsia" w:hAnsiTheme="minorHAnsi" w:cstheme="minorBidi"/>
                <w:color w:val="000000" w:themeColor="text1"/>
                <w:sz w:val="22"/>
                <w:szCs w:val="22"/>
                <w:lang w:eastAsia="nl-NL"/>
              </w:rPr>
              <w:t>p</w:t>
            </w:r>
            <w:r w:rsidR="00EB7FFB">
              <w:rPr>
                <w:rFonts w:asciiTheme="minorHAnsi" w:eastAsiaTheme="minorEastAsia" w:hAnsiTheme="minorHAnsi" w:cstheme="minorBidi"/>
                <w:color w:val="000000" w:themeColor="text1"/>
                <w:sz w:val="22"/>
                <w:szCs w:val="22"/>
                <w:lang w:eastAsia="nl-NL"/>
              </w:rPr>
              <w:t>olarisation</w:t>
            </w:r>
            <w:proofErr w:type="spellEnd"/>
            <w:r w:rsidR="005408CF">
              <w:rPr>
                <w:rFonts w:asciiTheme="minorHAnsi" w:eastAsiaTheme="minorEastAsia" w:hAnsiTheme="minorHAnsi" w:cstheme="minorBidi"/>
                <w:color w:val="000000" w:themeColor="text1"/>
                <w:sz w:val="22"/>
                <w:szCs w:val="22"/>
                <w:lang w:eastAsia="nl-NL"/>
              </w:rPr>
              <w:t xml:space="preserve">-related research idea to an existing effort. </w:t>
            </w:r>
            <w:r w:rsidR="1FDEB754" w:rsidRPr="47845BE1">
              <w:rPr>
                <w:rFonts w:asciiTheme="minorHAnsi" w:eastAsiaTheme="minorEastAsia" w:hAnsiTheme="minorHAnsi" w:cstheme="minorBidi"/>
                <w:color w:val="000000" w:themeColor="text1"/>
                <w:sz w:val="22"/>
                <w:szCs w:val="22"/>
                <w:lang w:eastAsia="nl-NL"/>
              </w:rPr>
              <w:t>The funding</w:t>
            </w:r>
            <w:r w:rsidR="2C8C58E7" w:rsidRPr="47845BE1">
              <w:rPr>
                <w:rFonts w:asciiTheme="minorHAnsi" w:eastAsiaTheme="minorEastAsia" w:hAnsiTheme="minorHAnsi" w:cstheme="minorBidi"/>
                <w:color w:val="000000" w:themeColor="text1"/>
                <w:sz w:val="22"/>
                <w:szCs w:val="22"/>
                <w:lang w:eastAsia="nl-NL"/>
              </w:rPr>
              <w:t xml:space="preserve"> cannot be used </w:t>
            </w:r>
            <w:r w:rsidR="1AE92FE9" w:rsidRPr="47845BE1">
              <w:rPr>
                <w:rFonts w:asciiTheme="minorHAnsi" w:eastAsiaTheme="minorEastAsia" w:hAnsiTheme="minorHAnsi" w:cstheme="minorBidi"/>
                <w:color w:val="000000" w:themeColor="text1"/>
                <w:sz w:val="22"/>
                <w:szCs w:val="22"/>
                <w:lang w:eastAsia="nl-NL"/>
              </w:rPr>
              <w:t xml:space="preserve">for </w:t>
            </w:r>
            <w:r w:rsidR="00BC22B2">
              <w:rPr>
                <w:rFonts w:asciiTheme="minorHAnsi" w:eastAsiaTheme="minorEastAsia" w:hAnsiTheme="minorHAnsi" w:cstheme="minorBidi"/>
                <w:color w:val="000000" w:themeColor="text1"/>
                <w:sz w:val="22"/>
                <w:szCs w:val="22"/>
                <w:lang w:eastAsia="nl-NL"/>
              </w:rPr>
              <w:t xml:space="preserve">personnel costs such as </w:t>
            </w:r>
            <w:r w:rsidR="1AE92FE9" w:rsidRPr="47845BE1">
              <w:rPr>
                <w:rFonts w:asciiTheme="minorHAnsi" w:eastAsiaTheme="minorEastAsia" w:hAnsiTheme="minorHAnsi" w:cstheme="minorBidi"/>
                <w:color w:val="000000" w:themeColor="text1"/>
                <w:sz w:val="22"/>
                <w:szCs w:val="22"/>
                <w:lang w:eastAsia="nl-NL"/>
              </w:rPr>
              <w:t>temporary teaching replacement.</w:t>
            </w:r>
          </w:p>
          <w:p w14:paraId="3DC7CBD9" w14:textId="77777777" w:rsidR="008F0056" w:rsidRPr="000E109C" w:rsidRDefault="008F0056" w:rsidP="008F0056">
            <w:pPr>
              <w:pStyle w:val="ListParagraph"/>
              <w:numPr>
                <w:ilvl w:val="1"/>
                <w:numId w:val="12"/>
              </w:numPr>
              <w:shd w:val="clear" w:color="auto" w:fill="FFFFFF" w:themeFill="background1"/>
              <w:spacing w:after="384"/>
              <w:ind w:left="316" w:hanging="370"/>
              <w:rPr>
                <w:rFonts w:eastAsiaTheme="minorEastAsia"/>
                <w:color w:val="000000"/>
                <w:sz w:val="22"/>
                <w:szCs w:val="22"/>
                <w:lang w:eastAsia="nl-NL"/>
              </w:rPr>
            </w:pPr>
            <w:r w:rsidRPr="0A1F4303">
              <w:rPr>
                <w:rFonts w:eastAsiaTheme="minorEastAsia"/>
                <w:color w:val="000000" w:themeColor="text1"/>
                <w:sz w:val="22"/>
                <w:szCs w:val="22"/>
                <w:lang w:eastAsia="nl-NL"/>
              </w:rPr>
              <w:t xml:space="preserve">Project teams can consist of 1-3 members. </w:t>
            </w:r>
          </w:p>
          <w:p w14:paraId="34E40DCA" w14:textId="3C644075" w:rsidR="008F0056" w:rsidRPr="00C40F2E" w:rsidRDefault="008F0056" w:rsidP="00684BC9">
            <w:pPr>
              <w:pStyle w:val="ListParagraph"/>
              <w:numPr>
                <w:ilvl w:val="1"/>
                <w:numId w:val="12"/>
              </w:numPr>
              <w:shd w:val="clear" w:color="auto" w:fill="FFFFFF" w:themeFill="background1"/>
              <w:ind w:left="316" w:hanging="370"/>
              <w:rPr>
                <w:rFonts w:eastAsiaTheme="minorEastAsia"/>
                <w:color w:val="000000"/>
                <w:sz w:val="22"/>
                <w:szCs w:val="22"/>
                <w:lang w:eastAsia="nl-NL"/>
              </w:rPr>
            </w:pPr>
            <w:r w:rsidRPr="47845BE1">
              <w:rPr>
                <w:rFonts w:eastAsiaTheme="minorEastAsia"/>
                <w:color w:val="000000" w:themeColor="text1"/>
                <w:sz w:val="22"/>
                <w:szCs w:val="22"/>
                <w:lang w:eastAsia="nl-NL"/>
              </w:rPr>
              <w:t xml:space="preserve">Assistant, associate, full professors, and post-doc/researchers with main affiliation at the </w:t>
            </w:r>
            <w:r w:rsidR="0DDE735C" w:rsidRPr="47845BE1">
              <w:rPr>
                <w:rFonts w:eastAsiaTheme="minorEastAsia"/>
                <w:color w:val="000000" w:themeColor="text1"/>
                <w:sz w:val="22"/>
                <w:szCs w:val="22"/>
                <w:lang w:eastAsia="nl-NL"/>
              </w:rPr>
              <w:t>FMG</w:t>
            </w:r>
            <w:r w:rsidRPr="47845BE1">
              <w:rPr>
                <w:rFonts w:eastAsiaTheme="minorEastAsia"/>
                <w:color w:val="000000" w:themeColor="text1"/>
                <w:sz w:val="22"/>
                <w:szCs w:val="22"/>
                <w:lang w:eastAsia="nl-NL"/>
              </w:rPr>
              <w:t xml:space="preserve"> may serve as main applicants. At least one applicant (not necessarily the main applicant) must have a tenured contract at the </w:t>
            </w:r>
            <w:r w:rsidR="6FDD45E5" w:rsidRPr="47845BE1">
              <w:rPr>
                <w:rFonts w:eastAsiaTheme="minorEastAsia"/>
                <w:color w:val="000000" w:themeColor="text1"/>
                <w:sz w:val="22"/>
                <w:szCs w:val="22"/>
                <w:lang w:eastAsia="nl-NL"/>
              </w:rPr>
              <w:t>FMG</w:t>
            </w:r>
            <w:r w:rsidRPr="47845BE1">
              <w:rPr>
                <w:rFonts w:eastAsiaTheme="minorEastAsia"/>
                <w:color w:val="000000" w:themeColor="text1"/>
                <w:sz w:val="22"/>
                <w:szCs w:val="22"/>
                <w:lang w:eastAsia="nl-NL"/>
              </w:rPr>
              <w:t xml:space="preserve"> to facilitate continuation of the work in the coming years. PhD </w:t>
            </w:r>
            <w:r w:rsidR="000640CD">
              <w:rPr>
                <w:rFonts w:eastAsiaTheme="minorEastAsia"/>
                <w:color w:val="000000" w:themeColor="text1"/>
                <w:sz w:val="22"/>
                <w:szCs w:val="22"/>
                <w:lang w:eastAsia="nl-NL"/>
              </w:rPr>
              <w:t>candidates</w:t>
            </w:r>
            <w:r w:rsidRPr="47845BE1">
              <w:rPr>
                <w:rFonts w:eastAsiaTheme="minorEastAsia"/>
                <w:color w:val="000000" w:themeColor="text1"/>
                <w:sz w:val="22"/>
                <w:szCs w:val="22"/>
                <w:lang w:eastAsia="nl-NL"/>
              </w:rPr>
              <w:t xml:space="preserve"> may serve as co-applicants. </w:t>
            </w:r>
            <w:r w:rsidR="00E079A3">
              <w:rPr>
                <w:rFonts w:eastAsiaTheme="minorEastAsia"/>
                <w:color w:val="000000" w:themeColor="text1"/>
                <w:sz w:val="22"/>
                <w:szCs w:val="22"/>
                <w:lang w:eastAsia="nl-NL"/>
              </w:rPr>
              <w:t xml:space="preserve">Note that PhD applicants should receive approval from their supervisors to participate </w:t>
            </w:r>
            <w:r w:rsidR="00441A56">
              <w:rPr>
                <w:rFonts w:eastAsiaTheme="minorEastAsia"/>
                <w:color w:val="000000" w:themeColor="text1"/>
                <w:sz w:val="22"/>
                <w:szCs w:val="22"/>
                <w:lang w:eastAsia="nl-NL"/>
              </w:rPr>
              <w:t>in this application.</w:t>
            </w:r>
          </w:p>
        </w:tc>
      </w:tr>
      <w:tr w:rsidR="008F0056" w:rsidRPr="00AF2152" w14:paraId="3C8E5513" w14:textId="77777777" w:rsidTr="00CB0467">
        <w:tc>
          <w:tcPr>
            <w:tcW w:w="1413" w:type="dxa"/>
          </w:tcPr>
          <w:p w14:paraId="73DC2419" w14:textId="77777777" w:rsidR="008F0056" w:rsidRDefault="008F0056" w:rsidP="00CB0467">
            <w:pPr>
              <w:rPr>
                <w:b/>
                <w:bCs/>
              </w:rPr>
            </w:pPr>
            <w:r>
              <w:rPr>
                <w:b/>
                <w:bCs/>
              </w:rPr>
              <w:t>Deliverables</w:t>
            </w:r>
          </w:p>
        </w:tc>
        <w:tc>
          <w:tcPr>
            <w:tcW w:w="7506" w:type="dxa"/>
          </w:tcPr>
          <w:p w14:paraId="44CE61E5" w14:textId="1A44FA47" w:rsidR="008F0056" w:rsidRPr="00C40F2E" w:rsidRDefault="25D01FAA" w:rsidP="008F0056">
            <w:pPr>
              <w:pStyle w:val="ListParagraph"/>
              <w:numPr>
                <w:ilvl w:val="1"/>
                <w:numId w:val="12"/>
              </w:numPr>
              <w:ind w:left="324"/>
              <w:rPr>
                <w:rStyle w:val="normaltextrun"/>
                <w:rFonts w:eastAsiaTheme="minorEastAsia"/>
                <w:color w:val="000000" w:themeColor="text1"/>
                <w:sz w:val="22"/>
                <w:szCs w:val="22"/>
                <w:u w:val="single"/>
                <w:lang w:eastAsia="nl-NL"/>
              </w:rPr>
            </w:pPr>
            <w:r w:rsidRPr="38EB5501">
              <w:rPr>
                <w:rStyle w:val="normaltextrun"/>
                <w:rFonts w:eastAsiaTheme="minorEastAsia"/>
                <w:sz w:val="22"/>
                <w:szCs w:val="22"/>
              </w:rPr>
              <w:t>The goal of this seed</w:t>
            </w:r>
            <w:r w:rsidR="00CF24AA">
              <w:rPr>
                <w:rStyle w:val="normaltextrun"/>
                <w:rFonts w:eastAsiaTheme="minorEastAsia"/>
                <w:sz w:val="22"/>
                <w:szCs w:val="22"/>
              </w:rPr>
              <w:t xml:space="preserve"> </w:t>
            </w:r>
            <w:r w:rsidRPr="38EB5501">
              <w:rPr>
                <w:rStyle w:val="normaltextrun"/>
                <w:rFonts w:eastAsiaTheme="minorEastAsia"/>
                <w:sz w:val="22"/>
                <w:szCs w:val="22"/>
              </w:rPr>
              <w:t xml:space="preserve">grant round is to provide a strong basis for collaboration. This includes a </w:t>
            </w:r>
            <w:r w:rsidR="28781C2D" w:rsidRPr="38EB5501">
              <w:rPr>
                <w:rStyle w:val="normaltextrun"/>
                <w:rFonts w:eastAsiaTheme="minorEastAsia"/>
                <w:sz w:val="22"/>
                <w:szCs w:val="22"/>
              </w:rPr>
              <w:t>p</w:t>
            </w:r>
            <w:r w:rsidR="008F0056" w:rsidRPr="38EB5501">
              <w:rPr>
                <w:rStyle w:val="normaltextrun"/>
                <w:rFonts w:eastAsiaTheme="minorEastAsia"/>
                <w:sz w:val="22"/>
                <w:szCs w:val="22"/>
              </w:rPr>
              <w:t>resentation</w:t>
            </w:r>
            <w:r w:rsidR="008F0056" w:rsidRPr="0A1F4303">
              <w:rPr>
                <w:rStyle w:val="normaltextrun"/>
                <w:rFonts w:eastAsiaTheme="minorEastAsia"/>
                <w:sz w:val="22"/>
                <w:szCs w:val="22"/>
              </w:rPr>
              <w:t xml:space="preserve"> at </w:t>
            </w:r>
            <w:r w:rsidR="004E10A7">
              <w:rPr>
                <w:rStyle w:val="normaltextrun"/>
                <w:rFonts w:eastAsiaTheme="minorEastAsia"/>
                <w:sz w:val="22"/>
                <w:szCs w:val="22"/>
              </w:rPr>
              <w:t>the</w:t>
            </w:r>
            <w:r w:rsidR="004E10A7">
              <w:rPr>
                <w:rStyle w:val="normaltextrun"/>
              </w:rPr>
              <w:t xml:space="preserve"> </w:t>
            </w:r>
            <w:r w:rsidR="008F0056" w:rsidRPr="0A1F4303">
              <w:rPr>
                <w:rStyle w:val="normaltextrun"/>
                <w:rFonts w:eastAsiaTheme="minorEastAsia"/>
                <w:sz w:val="22"/>
                <w:szCs w:val="22"/>
              </w:rPr>
              <w:t>RPA Match Making Event in October 2023</w:t>
            </w:r>
            <w:r w:rsidR="205C8412" w:rsidRPr="38EB5501">
              <w:rPr>
                <w:rStyle w:val="normaltextrun"/>
                <w:rFonts w:eastAsiaTheme="minorEastAsia"/>
                <w:sz w:val="22"/>
                <w:szCs w:val="22"/>
              </w:rPr>
              <w:t xml:space="preserve"> to invite and inspire other researchers to contribute and work with you. </w:t>
            </w:r>
            <w:r w:rsidR="589AD2DF" w:rsidRPr="38EB5501">
              <w:rPr>
                <w:rStyle w:val="normaltextrun"/>
                <w:rFonts w:eastAsiaTheme="minorEastAsia"/>
                <w:sz w:val="22"/>
                <w:szCs w:val="22"/>
              </w:rPr>
              <w:t xml:space="preserve">During the matchmaking event, you will be invited to give a </w:t>
            </w:r>
            <w:r w:rsidR="7877C313" w:rsidRPr="38EB5501">
              <w:rPr>
                <w:rStyle w:val="normaltextrun"/>
                <w:rFonts w:eastAsiaTheme="minorEastAsia"/>
                <w:sz w:val="22"/>
                <w:szCs w:val="22"/>
              </w:rPr>
              <w:t>b</w:t>
            </w:r>
            <w:r w:rsidR="008F0056" w:rsidRPr="38EB5501">
              <w:rPr>
                <w:rStyle w:val="normaltextrun"/>
                <w:rFonts w:eastAsiaTheme="minorEastAsia"/>
                <w:sz w:val="22"/>
                <w:szCs w:val="22"/>
              </w:rPr>
              <w:t>rief</w:t>
            </w:r>
            <w:r w:rsidR="008F0056" w:rsidRPr="0A1F4303">
              <w:rPr>
                <w:rStyle w:val="normaltextrun"/>
                <w:rFonts w:eastAsiaTheme="minorEastAsia"/>
                <w:sz w:val="22"/>
                <w:szCs w:val="22"/>
              </w:rPr>
              <w:t xml:space="preserve"> presentation </w:t>
            </w:r>
            <w:r w:rsidR="203B55FC" w:rsidRPr="38EB5501">
              <w:rPr>
                <w:rStyle w:val="normaltextrun"/>
                <w:rFonts w:eastAsiaTheme="minorEastAsia"/>
                <w:sz w:val="22"/>
                <w:szCs w:val="22"/>
              </w:rPr>
              <w:t xml:space="preserve">about the work that the </w:t>
            </w:r>
            <w:r w:rsidR="00F13C81">
              <w:rPr>
                <w:rStyle w:val="normaltextrun"/>
                <w:rFonts w:eastAsiaTheme="minorEastAsia"/>
                <w:sz w:val="22"/>
                <w:szCs w:val="22"/>
              </w:rPr>
              <w:t>p</w:t>
            </w:r>
            <w:r w:rsidR="00F13C81">
              <w:rPr>
                <w:rStyle w:val="normaltextrun"/>
              </w:rPr>
              <w:t xml:space="preserve">ilot </w:t>
            </w:r>
            <w:r w:rsidR="203B55FC" w:rsidRPr="38EB5501">
              <w:rPr>
                <w:rStyle w:val="normaltextrun"/>
                <w:rFonts w:eastAsiaTheme="minorEastAsia"/>
                <w:sz w:val="22"/>
                <w:szCs w:val="22"/>
              </w:rPr>
              <w:t>seed</w:t>
            </w:r>
            <w:r w:rsidR="00F13C81">
              <w:rPr>
                <w:rStyle w:val="normaltextrun"/>
                <w:rFonts w:eastAsiaTheme="minorEastAsia"/>
                <w:sz w:val="22"/>
                <w:szCs w:val="22"/>
              </w:rPr>
              <w:t xml:space="preserve"> </w:t>
            </w:r>
            <w:r w:rsidR="203B55FC" w:rsidRPr="38EB5501">
              <w:rPr>
                <w:rStyle w:val="normaltextrun"/>
                <w:rFonts w:eastAsiaTheme="minorEastAsia"/>
                <w:sz w:val="22"/>
                <w:szCs w:val="22"/>
              </w:rPr>
              <w:t>grant helped fund,</w:t>
            </w:r>
            <w:r w:rsidR="008F0056" w:rsidRPr="38EB5501">
              <w:rPr>
                <w:rStyle w:val="normaltextrun"/>
                <w:rFonts w:eastAsiaTheme="minorEastAsia"/>
                <w:sz w:val="22"/>
                <w:szCs w:val="22"/>
              </w:rPr>
              <w:t xml:space="preserve"> </w:t>
            </w:r>
            <w:r w:rsidR="008F0056" w:rsidRPr="0A1F4303">
              <w:rPr>
                <w:rStyle w:val="normaltextrun"/>
                <w:rFonts w:eastAsiaTheme="minorEastAsia"/>
                <w:sz w:val="22"/>
                <w:szCs w:val="22"/>
              </w:rPr>
              <w:t xml:space="preserve">including </w:t>
            </w:r>
            <w:r w:rsidR="76089A71" w:rsidRPr="38EB5501">
              <w:rPr>
                <w:rStyle w:val="normaltextrun"/>
                <w:rFonts w:eastAsiaTheme="minorEastAsia"/>
                <w:sz w:val="22"/>
                <w:szCs w:val="22"/>
              </w:rPr>
              <w:t xml:space="preserve">a </w:t>
            </w:r>
            <w:r w:rsidR="008F0056" w:rsidRPr="0A1F4303">
              <w:rPr>
                <w:rStyle w:val="normaltextrun"/>
                <w:rFonts w:eastAsiaTheme="minorEastAsia"/>
                <w:sz w:val="22"/>
                <w:szCs w:val="22"/>
              </w:rPr>
              <w:t>v</w:t>
            </w:r>
            <w:r w:rsidR="008F0056" w:rsidRPr="2131C6D3">
              <w:rPr>
                <w:rStyle w:val="normaltextrun"/>
                <w:rFonts w:asciiTheme="minorHAnsi" w:eastAsiaTheme="minorEastAsia" w:hAnsiTheme="minorHAnsi" w:cstheme="minorBidi"/>
                <w:sz w:val="22"/>
                <w:szCs w:val="22"/>
              </w:rPr>
              <w:t>isual representation of pilot data, research design, or theoretical model</w:t>
            </w:r>
            <w:r w:rsidR="004E10A7">
              <w:rPr>
                <w:rStyle w:val="normaltextrun"/>
                <w:rFonts w:asciiTheme="minorHAnsi" w:eastAsiaTheme="minorEastAsia" w:hAnsiTheme="minorHAnsi" w:cstheme="minorBidi"/>
                <w:sz w:val="22"/>
                <w:szCs w:val="22"/>
              </w:rPr>
              <w:t>.</w:t>
            </w:r>
            <w:r w:rsidR="008F0056" w:rsidRPr="2131C6D3">
              <w:rPr>
                <w:rStyle w:val="normaltextrun"/>
                <w:rFonts w:asciiTheme="minorHAnsi" w:eastAsiaTheme="minorEastAsia" w:hAnsiTheme="minorHAnsi" w:cstheme="minorBidi"/>
                <w:sz w:val="22"/>
                <w:szCs w:val="22"/>
              </w:rPr>
              <w:t xml:space="preserve"> </w:t>
            </w:r>
          </w:p>
        </w:tc>
      </w:tr>
      <w:tr w:rsidR="008F0056" w:rsidRPr="00AF2152" w14:paraId="31F80515" w14:textId="77777777" w:rsidTr="00CB0467">
        <w:tc>
          <w:tcPr>
            <w:tcW w:w="1413" w:type="dxa"/>
          </w:tcPr>
          <w:p w14:paraId="3B628D4C" w14:textId="5551E9D1" w:rsidR="008F0056" w:rsidRDefault="008F0056" w:rsidP="00CB0467">
            <w:pPr>
              <w:rPr>
                <w:b/>
                <w:bCs/>
              </w:rPr>
            </w:pPr>
            <w:r>
              <w:rPr>
                <w:b/>
                <w:bCs/>
              </w:rPr>
              <w:t>Evaluation C</w:t>
            </w:r>
            <w:r w:rsidRPr="00C40F2E">
              <w:rPr>
                <w:rFonts w:eastAsiaTheme="minorEastAsia"/>
                <w:b/>
                <w:bCs/>
                <w:color w:val="000000" w:themeColor="text1"/>
                <w:lang w:eastAsia="nl-NL"/>
              </w:rPr>
              <w:t>riteria</w:t>
            </w:r>
          </w:p>
        </w:tc>
        <w:tc>
          <w:tcPr>
            <w:tcW w:w="7506" w:type="dxa"/>
          </w:tcPr>
          <w:p w14:paraId="3A643A38" w14:textId="1E959582" w:rsidR="00AE583F" w:rsidRDefault="00AE583F" w:rsidP="008F0056">
            <w:pPr>
              <w:pStyle w:val="ListParagraph"/>
              <w:numPr>
                <w:ilvl w:val="1"/>
                <w:numId w:val="12"/>
              </w:numPr>
              <w:shd w:val="clear" w:color="auto" w:fill="FFFFFF" w:themeFill="background1"/>
              <w:ind w:left="324"/>
              <w:rPr>
                <w:rFonts w:eastAsiaTheme="minorEastAsia"/>
                <w:color w:val="000000" w:themeColor="text1"/>
                <w:sz w:val="22"/>
                <w:szCs w:val="22"/>
                <w:lang w:eastAsia="nl-NL"/>
              </w:rPr>
            </w:pPr>
            <w:r>
              <w:rPr>
                <w:rFonts w:eastAsiaTheme="minorEastAsia"/>
                <w:color w:val="000000" w:themeColor="text1"/>
                <w:sz w:val="22"/>
                <w:szCs w:val="22"/>
                <w:lang w:eastAsia="nl-NL"/>
              </w:rPr>
              <w:t xml:space="preserve">Applicant(s) </w:t>
            </w:r>
            <w:r w:rsidR="00A03784">
              <w:rPr>
                <w:rFonts w:eastAsiaTheme="minorEastAsia"/>
                <w:color w:val="000000" w:themeColor="text1"/>
                <w:sz w:val="22"/>
                <w:szCs w:val="22"/>
                <w:lang w:eastAsia="nl-NL"/>
              </w:rPr>
              <w:t>fulfill the criteria named under “Who and What” above</w:t>
            </w:r>
          </w:p>
          <w:p w14:paraId="4ED37CD1" w14:textId="35741CBA" w:rsidR="008F0056" w:rsidRDefault="008F0056" w:rsidP="008F0056">
            <w:pPr>
              <w:pStyle w:val="ListParagraph"/>
              <w:numPr>
                <w:ilvl w:val="1"/>
                <w:numId w:val="12"/>
              </w:numPr>
              <w:shd w:val="clear" w:color="auto" w:fill="FFFFFF" w:themeFill="background1"/>
              <w:ind w:left="324"/>
              <w:rPr>
                <w:rFonts w:eastAsiaTheme="minorEastAsia"/>
                <w:color w:val="000000" w:themeColor="text1"/>
                <w:sz w:val="22"/>
                <w:szCs w:val="22"/>
                <w:lang w:eastAsia="nl-NL"/>
              </w:rPr>
            </w:pPr>
            <w:r w:rsidRPr="0A1F4303">
              <w:rPr>
                <w:rFonts w:eastAsiaTheme="minorEastAsia"/>
                <w:color w:val="000000" w:themeColor="text1"/>
                <w:sz w:val="22"/>
                <w:szCs w:val="22"/>
                <w:lang w:eastAsia="nl-NL"/>
              </w:rPr>
              <w:t>Clear relevance of the project for (de)</w:t>
            </w:r>
            <w:proofErr w:type="spellStart"/>
            <w:r w:rsidRPr="0A1F4303">
              <w:rPr>
                <w:rFonts w:eastAsiaTheme="minorEastAsia"/>
                <w:color w:val="000000" w:themeColor="text1"/>
                <w:sz w:val="22"/>
                <w:szCs w:val="22"/>
                <w:lang w:eastAsia="nl-NL"/>
              </w:rPr>
              <w:t>p</w:t>
            </w:r>
            <w:r w:rsidR="00EB7FFB">
              <w:rPr>
                <w:rFonts w:eastAsiaTheme="minorEastAsia"/>
                <w:color w:val="000000" w:themeColor="text1"/>
                <w:sz w:val="22"/>
                <w:szCs w:val="22"/>
                <w:lang w:eastAsia="nl-NL"/>
              </w:rPr>
              <w:t>olarisation</w:t>
            </w:r>
            <w:proofErr w:type="spellEnd"/>
          </w:p>
          <w:p w14:paraId="22684075" w14:textId="77777777" w:rsidR="008F0056" w:rsidRDefault="008F0056" w:rsidP="008F0056">
            <w:pPr>
              <w:pStyle w:val="ListParagraph"/>
              <w:numPr>
                <w:ilvl w:val="1"/>
                <w:numId w:val="12"/>
              </w:numPr>
              <w:shd w:val="clear" w:color="auto" w:fill="FFFFFF" w:themeFill="background1"/>
              <w:ind w:left="324"/>
              <w:rPr>
                <w:rFonts w:eastAsiaTheme="minorEastAsia"/>
                <w:color w:val="000000" w:themeColor="text1"/>
                <w:sz w:val="22"/>
                <w:szCs w:val="22"/>
                <w:lang w:eastAsia="nl-NL"/>
              </w:rPr>
            </w:pPr>
            <w:r w:rsidRPr="0A1F4303">
              <w:rPr>
                <w:rFonts w:eastAsiaTheme="minorEastAsia"/>
                <w:color w:val="000000" w:themeColor="text1"/>
                <w:sz w:val="22"/>
                <w:szCs w:val="22"/>
                <w:lang w:eastAsia="nl-NL"/>
              </w:rPr>
              <w:t>Feasibility (project needs to be feasible given financial and time constraints – see Timeline below)</w:t>
            </w:r>
          </w:p>
          <w:p w14:paraId="147D9CE0" w14:textId="77777777" w:rsidR="008F0056" w:rsidRPr="00C40F2E" w:rsidRDefault="008F0056" w:rsidP="008F0056">
            <w:pPr>
              <w:pStyle w:val="ListParagraph"/>
              <w:numPr>
                <w:ilvl w:val="1"/>
                <w:numId w:val="12"/>
              </w:numPr>
              <w:shd w:val="clear" w:color="auto" w:fill="FFFFFF" w:themeFill="background1"/>
              <w:ind w:left="324"/>
              <w:rPr>
                <w:rFonts w:eastAsiaTheme="minorEastAsia"/>
                <w:color w:val="000000" w:themeColor="text1"/>
                <w:sz w:val="22"/>
                <w:szCs w:val="22"/>
                <w:lang w:eastAsia="nl-NL"/>
              </w:rPr>
            </w:pPr>
            <w:r w:rsidRPr="0A1F4303">
              <w:rPr>
                <w:rFonts w:eastAsiaTheme="minorEastAsia"/>
                <w:color w:val="000000" w:themeColor="text1"/>
                <w:sz w:val="22"/>
                <w:szCs w:val="22"/>
                <w:lang w:eastAsia="nl-NL"/>
              </w:rPr>
              <w:t>Potential for interdisciplinary (cross-department at FMG) collaboration in the future.</w:t>
            </w:r>
          </w:p>
        </w:tc>
      </w:tr>
      <w:tr w:rsidR="008F0056" w:rsidRPr="00AF2152" w14:paraId="238ACC4E" w14:textId="77777777" w:rsidTr="00CB0467">
        <w:tc>
          <w:tcPr>
            <w:tcW w:w="1413" w:type="dxa"/>
          </w:tcPr>
          <w:p w14:paraId="12E7C9F4" w14:textId="77777777" w:rsidR="008F0056" w:rsidRDefault="008F0056" w:rsidP="00CB0467">
            <w:pPr>
              <w:rPr>
                <w:b/>
                <w:bCs/>
              </w:rPr>
            </w:pPr>
            <w:r>
              <w:rPr>
                <w:b/>
                <w:bCs/>
              </w:rPr>
              <w:t>Evaluation Procedure</w:t>
            </w:r>
          </w:p>
        </w:tc>
        <w:tc>
          <w:tcPr>
            <w:tcW w:w="7506" w:type="dxa"/>
          </w:tcPr>
          <w:p w14:paraId="613B4884" w14:textId="572C18C8" w:rsidR="008F0056" w:rsidRDefault="008F0056" w:rsidP="008F0056">
            <w:pPr>
              <w:pStyle w:val="ListParagraph"/>
              <w:numPr>
                <w:ilvl w:val="1"/>
                <w:numId w:val="12"/>
              </w:numPr>
              <w:shd w:val="clear" w:color="auto" w:fill="FFFFFF" w:themeFill="background1"/>
              <w:ind w:left="324"/>
              <w:rPr>
                <w:rFonts w:eastAsiaTheme="minorEastAsia"/>
                <w:color w:val="000000" w:themeColor="text1"/>
                <w:sz w:val="22"/>
                <w:szCs w:val="22"/>
                <w:lang w:eastAsia="nl-NL"/>
              </w:rPr>
            </w:pPr>
            <w:r w:rsidRPr="0A1F4303">
              <w:rPr>
                <w:rFonts w:eastAsiaTheme="minorEastAsia"/>
                <w:color w:val="000000" w:themeColor="text1"/>
                <w:sz w:val="22"/>
                <w:szCs w:val="22"/>
                <w:lang w:eastAsia="nl-NL"/>
              </w:rPr>
              <w:t xml:space="preserve">All applications will be evaluated </w:t>
            </w:r>
            <w:r w:rsidR="36A003AF" w:rsidRPr="38EB5501">
              <w:rPr>
                <w:rFonts w:eastAsiaTheme="minorEastAsia"/>
                <w:color w:val="000000" w:themeColor="text1"/>
                <w:sz w:val="22"/>
                <w:szCs w:val="22"/>
                <w:lang w:eastAsia="nl-NL"/>
              </w:rPr>
              <w:t xml:space="preserve">for </w:t>
            </w:r>
            <w:r w:rsidR="00096285">
              <w:rPr>
                <w:rFonts w:eastAsiaTheme="minorEastAsia"/>
                <w:color w:val="000000" w:themeColor="text1"/>
                <w:sz w:val="22"/>
                <w:szCs w:val="22"/>
                <w:lang w:eastAsia="nl-NL"/>
              </w:rPr>
              <w:t>admissibility</w:t>
            </w:r>
            <w:r w:rsidRPr="38EB5501">
              <w:rPr>
                <w:rFonts w:eastAsiaTheme="minorEastAsia"/>
                <w:color w:val="000000" w:themeColor="text1"/>
                <w:sz w:val="22"/>
                <w:szCs w:val="22"/>
                <w:lang w:eastAsia="nl-NL"/>
              </w:rPr>
              <w:t xml:space="preserve"> </w:t>
            </w:r>
            <w:r w:rsidRPr="0A1F4303">
              <w:rPr>
                <w:rFonts w:eastAsiaTheme="minorEastAsia"/>
                <w:color w:val="000000" w:themeColor="text1"/>
                <w:sz w:val="22"/>
                <w:szCs w:val="22"/>
                <w:lang w:eastAsia="nl-NL"/>
              </w:rPr>
              <w:t xml:space="preserve">according to the above </w:t>
            </w:r>
            <w:r w:rsidR="00ED576B">
              <w:rPr>
                <w:rFonts w:eastAsiaTheme="minorEastAsia"/>
                <w:color w:val="000000" w:themeColor="text1"/>
                <w:sz w:val="22"/>
                <w:szCs w:val="22"/>
                <w:lang w:eastAsia="nl-NL"/>
              </w:rPr>
              <w:t xml:space="preserve">“Evaluation </w:t>
            </w:r>
            <w:r w:rsidRPr="0A1F4303">
              <w:rPr>
                <w:rFonts w:eastAsiaTheme="minorEastAsia"/>
                <w:color w:val="000000" w:themeColor="text1"/>
                <w:sz w:val="22"/>
                <w:szCs w:val="22"/>
                <w:lang w:eastAsia="nl-NL"/>
              </w:rPr>
              <w:t>criteria</w:t>
            </w:r>
            <w:r w:rsidR="00ED576B">
              <w:rPr>
                <w:rFonts w:eastAsiaTheme="minorEastAsia"/>
                <w:color w:val="000000" w:themeColor="text1"/>
                <w:sz w:val="22"/>
                <w:szCs w:val="22"/>
                <w:lang w:eastAsia="nl-NL"/>
              </w:rPr>
              <w:t>”</w:t>
            </w:r>
            <w:r w:rsidRPr="0A1F4303">
              <w:rPr>
                <w:rFonts w:eastAsiaTheme="minorEastAsia"/>
                <w:color w:val="000000" w:themeColor="text1"/>
                <w:sz w:val="22"/>
                <w:szCs w:val="22"/>
                <w:lang w:eastAsia="nl-NL"/>
              </w:rPr>
              <w:t xml:space="preserve"> by the RPA board (Drs. Christin Scholz, </w:t>
            </w:r>
            <w:proofErr w:type="spellStart"/>
            <w:r w:rsidRPr="0A1F4303">
              <w:rPr>
                <w:rFonts w:eastAsiaTheme="minorEastAsia"/>
                <w:color w:val="000000" w:themeColor="text1"/>
                <w:sz w:val="22"/>
                <w:szCs w:val="22"/>
                <w:lang w:eastAsia="nl-NL"/>
              </w:rPr>
              <w:t>Marte</w:t>
            </w:r>
            <w:proofErr w:type="spellEnd"/>
            <w:r w:rsidRPr="0A1F4303">
              <w:rPr>
                <w:rFonts w:eastAsiaTheme="minorEastAsia"/>
                <w:color w:val="000000" w:themeColor="text1"/>
                <w:sz w:val="22"/>
                <w:szCs w:val="22"/>
                <w:lang w:eastAsia="nl-NL"/>
              </w:rPr>
              <w:t xml:space="preserve"> Otten, and </w:t>
            </w:r>
            <w:proofErr w:type="spellStart"/>
            <w:r w:rsidRPr="0A1F4303">
              <w:rPr>
                <w:rFonts w:eastAsiaTheme="minorEastAsia"/>
                <w:color w:val="000000" w:themeColor="text1"/>
                <w:sz w:val="22"/>
                <w:szCs w:val="22"/>
                <w:lang w:eastAsia="nl-NL"/>
              </w:rPr>
              <w:t>Remmert</w:t>
            </w:r>
            <w:proofErr w:type="spellEnd"/>
            <w:r w:rsidRPr="0A1F4303">
              <w:rPr>
                <w:rFonts w:eastAsiaTheme="minorEastAsia"/>
                <w:color w:val="000000" w:themeColor="text1"/>
                <w:sz w:val="22"/>
                <w:szCs w:val="22"/>
                <w:lang w:eastAsia="nl-NL"/>
              </w:rPr>
              <w:t xml:space="preserve"> </w:t>
            </w:r>
            <w:proofErr w:type="spellStart"/>
            <w:r w:rsidRPr="0A1F4303">
              <w:rPr>
                <w:rFonts w:eastAsiaTheme="minorEastAsia"/>
                <w:color w:val="000000" w:themeColor="text1"/>
                <w:sz w:val="22"/>
                <w:szCs w:val="22"/>
                <w:lang w:eastAsia="nl-NL"/>
              </w:rPr>
              <w:t>Daas</w:t>
            </w:r>
            <w:proofErr w:type="spellEnd"/>
            <w:r w:rsidRPr="0A1F4303">
              <w:rPr>
                <w:rFonts w:eastAsiaTheme="minorEastAsia"/>
                <w:color w:val="000000" w:themeColor="text1"/>
                <w:sz w:val="22"/>
                <w:szCs w:val="22"/>
                <w:lang w:eastAsia="nl-NL"/>
              </w:rPr>
              <w:t>), who are excluded from all applications.</w:t>
            </w:r>
          </w:p>
          <w:p w14:paraId="3A59D69B" w14:textId="6728BEED" w:rsidR="008F0056" w:rsidRPr="00C40F2E" w:rsidRDefault="008F0056" w:rsidP="008F0056">
            <w:pPr>
              <w:pStyle w:val="ListParagraph"/>
              <w:numPr>
                <w:ilvl w:val="1"/>
                <w:numId w:val="12"/>
              </w:numPr>
              <w:shd w:val="clear" w:color="auto" w:fill="FFFFFF" w:themeFill="background1"/>
              <w:ind w:left="324"/>
              <w:rPr>
                <w:rFonts w:eastAsiaTheme="minorEastAsia"/>
                <w:color w:val="000000" w:themeColor="text1"/>
                <w:sz w:val="22"/>
                <w:szCs w:val="22"/>
                <w:lang w:eastAsia="nl-NL"/>
              </w:rPr>
            </w:pPr>
            <w:r w:rsidRPr="0A1F4303">
              <w:rPr>
                <w:rFonts w:eastAsiaTheme="minorEastAsia"/>
                <w:color w:val="000000" w:themeColor="text1"/>
                <w:sz w:val="22"/>
                <w:szCs w:val="22"/>
                <w:lang w:eastAsia="nl-NL"/>
              </w:rPr>
              <w:t xml:space="preserve">If the available funds are insufficient to cover all </w:t>
            </w:r>
            <w:r w:rsidR="00ED576B">
              <w:rPr>
                <w:rFonts w:eastAsiaTheme="minorEastAsia"/>
                <w:color w:val="000000" w:themeColor="text1"/>
                <w:sz w:val="22"/>
                <w:szCs w:val="22"/>
                <w:lang w:eastAsia="nl-NL"/>
              </w:rPr>
              <w:t>admissible</w:t>
            </w:r>
            <w:r w:rsidRPr="0A1F4303">
              <w:rPr>
                <w:rFonts w:eastAsiaTheme="minorEastAsia"/>
                <w:color w:val="000000" w:themeColor="text1"/>
                <w:sz w:val="22"/>
                <w:szCs w:val="22"/>
                <w:lang w:eastAsia="nl-NL"/>
              </w:rPr>
              <w:t xml:space="preserve"> applications, winners will be selected </w:t>
            </w:r>
            <w:r w:rsidR="00ED576B">
              <w:rPr>
                <w:rFonts w:eastAsiaTheme="minorEastAsia"/>
                <w:color w:val="000000" w:themeColor="text1"/>
                <w:sz w:val="22"/>
                <w:szCs w:val="22"/>
                <w:lang w:eastAsia="nl-NL"/>
              </w:rPr>
              <w:t>based on a random draw</w:t>
            </w:r>
            <w:r w:rsidRPr="0A1F4303">
              <w:rPr>
                <w:rFonts w:eastAsiaTheme="minorEastAsia"/>
                <w:color w:val="000000" w:themeColor="text1"/>
                <w:sz w:val="22"/>
                <w:szCs w:val="22"/>
                <w:lang w:eastAsia="nl-NL"/>
              </w:rPr>
              <w:t>.</w:t>
            </w:r>
          </w:p>
        </w:tc>
      </w:tr>
    </w:tbl>
    <w:p w14:paraId="3CBB9D59" w14:textId="77777777" w:rsidR="00CB2093" w:rsidRPr="00CB2093" w:rsidRDefault="00CB2093" w:rsidP="00F45B10">
      <w:pPr>
        <w:rPr>
          <w:b/>
          <w:lang w:val="en-US"/>
        </w:rPr>
      </w:pPr>
    </w:p>
    <w:p w14:paraId="3AAED015" w14:textId="0B41F960" w:rsidR="00F45B10" w:rsidRPr="009464B9" w:rsidRDefault="00F45B10" w:rsidP="00F45B10">
      <w:pPr>
        <w:rPr>
          <w:b/>
        </w:rPr>
      </w:pPr>
      <w:r w:rsidRPr="009464B9">
        <w:rPr>
          <w:b/>
        </w:rPr>
        <w:t>Timeline</w:t>
      </w:r>
    </w:p>
    <w:p w14:paraId="55084E40" w14:textId="79012701" w:rsidR="00F45B10" w:rsidRPr="00150FE1" w:rsidRDefault="00C33DA7" w:rsidP="007B5E47">
      <w:pPr>
        <w:rPr>
          <w:b/>
          <w:sz w:val="24"/>
          <w:szCs w:val="24"/>
        </w:rPr>
      </w:pPr>
      <w:r w:rsidRPr="00C33DA7">
        <w:rPr>
          <w:b/>
          <w:noProof/>
          <w:sz w:val="24"/>
          <w:szCs w:val="24"/>
        </w:rPr>
        <w:drawing>
          <wp:inline distT="0" distB="0" distL="0" distR="0" wp14:anchorId="3C423BC3" wp14:editId="4FFAC657">
            <wp:extent cx="5731510" cy="159829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731510" cy="1598295"/>
                    </a:xfrm>
                    <a:prstGeom prst="rect">
                      <a:avLst/>
                    </a:prstGeom>
                  </pic:spPr>
                </pic:pic>
              </a:graphicData>
            </a:graphic>
          </wp:inline>
        </w:drawing>
      </w:r>
    </w:p>
    <w:sectPr w:rsidR="00F45B10" w:rsidRPr="00150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76C"/>
    <w:multiLevelType w:val="multilevel"/>
    <w:tmpl w:val="92C6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5304F"/>
    <w:multiLevelType w:val="multilevel"/>
    <w:tmpl w:val="E12CEF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7F0FA8"/>
    <w:multiLevelType w:val="hybridMultilevel"/>
    <w:tmpl w:val="CCDCB812"/>
    <w:lvl w:ilvl="0" w:tplc="158C1B70">
      <w:start w:val="1"/>
      <w:numFmt w:val="decimal"/>
      <w:lvlText w:val="%1."/>
      <w:lvlJc w:val="left"/>
      <w:pPr>
        <w:ind w:left="720" w:hanging="360"/>
      </w:pPr>
    </w:lvl>
    <w:lvl w:ilvl="1" w:tplc="FB42E0E4">
      <w:start w:val="1"/>
      <w:numFmt w:val="lowerLetter"/>
      <w:lvlText w:val="%2."/>
      <w:lvlJc w:val="left"/>
      <w:pPr>
        <w:ind w:left="1440" w:hanging="360"/>
      </w:pPr>
    </w:lvl>
    <w:lvl w:ilvl="2" w:tplc="2CB6B380">
      <w:start w:val="1"/>
      <w:numFmt w:val="lowerRoman"/>
      <w:lvlText w:val="%3."/>
      <w:lvlJc w:val="right"/>
      <w:pPr>
        <w:ind w:left="2160" w:hanging="180"/>
      </w:pPr>
    </w:lvl>
    <w:lvl w:ilvl="3" w:tplc="DAB04F2A">
      <w:start w:val="1"/>
      <w:numFmt w:val="decimal"/>
      <w:lvlText w:val="%4."/>
      <w:lvlJc w:val="left"/>
      <w:pPr>
        <w:ind w:left="2880" w:hanging="360"/>
      </w:pPr>
    </w:lvl>
    <w:lvl w:ilvl="4" w:tplc="6F7C553C">
      <w:start w:val="1"/>
      <w:numFmt w:val="lowerLetter"/>
      <w:lvlText w:val="%5."/>
      <w:lvlJc w:val="left"/>
      <w:pPr>
        <w:ind w:left="3600" w:hanging="360"/>
      </w:pPr>
    </w:lvl>
    <w:lvl w:ilvl="5" w:tplc="51964DE6">
      <w:start w:val="1"/>
      <w:numFmt w:val="lowerRoman"/>
      <w:lvlText w:val="%6."/>
      <w:lvlJc w:val="right"/>
      <w:pPr>
        <w:ind w:left="4320" w:hanging="180"/>
      </w:pPr>
    </w:lvl>
    <w:lvl w:ilvl="6" w:tplc="CC986A48">
      <w:start w:val="1"/>
      <w:numFmt w:val="decimal"/>
      <w:lvlText w:val="%7."/>
      <w:lvlJc w:val="left"/>
      <w:pPr>
        <w:ind w:left="5040" w:hanging="360"/>
      </w:pPr>
    </w:lvl>
    <w:lvl w:ilvl="7" w:tplc="B0ECCC9A">
      <w:start w:val="1"/>
      <w:numFmt w:val="lowerLetter"/>
      <w:lvlText w:val="%8."/>
      <w:lvlJc w:val="left"/>
      <w:pPr>
        <w:ind w:left="5760" w:hanging="360"/>
      </w:pPr>
    </w:lvl>
    <w:lvl w:ilvl="8" w:tplc="E13C6784">
      <w:start w:val="1"/>
      <w:numFmt w:val="lowerRoman"/>
      <w:lvlText w:val="%9."/>
      <w:lvlJc w:val="right"/>
      <w:pPr>
        <w:ind w:left="6480" w:hanging="180"/>
      </w:pPr>
    </w:lvl>
  </w:abstractNum>
  <w:abstractNum w:abstractNumId="3" w15:restartNumberingAfterBreak="0">
    <w:nsid w:val="09A95C77"/>
    <w:multiLevelType w:val="hybridMultilevel"/>
    <w:tmpl w:val="5C327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26BF4"/>
    <w:multiLevelType w:val="multilevel"/>
    <w:tmpl w:val="9EAA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D1EE5"/>
    <w:multiLevelType w:val="hybridMultilevel"/>
    <w:tmpl w:val="3864CADC"/>
    <w:lvl w:ilvl="0" w:tplc="AD866836">
      <w:start w:val="1"/>
      <w:numFmt w:val="bullet"/>
      <w:lvlText w:val="-"/>
      <w:lvlJc w:val="left"/>
      <w:pPr>
        <w:ind w:left="1068" w:hanging="360"/>
      </w:pPr>
      <w:rPr>
        <w:rFonts w:ascii="Calibri" w:eastAsiaTheme="minorEastAsia"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1D5D3F71"/>
    <w:multiLevelType w:val="multilevel"/>
    <w:tmpl w:val="19D8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9E495F"/>
    <w:multiLevelType w:val="multilevel"/>
    <w:tmpl w:val="094AAE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41C010D"/>
    <w:multiLevelType w:val="multilevel"/>
    <w:tmpl w:val="16F6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6F3258"/>
    <w:multiLevelType w:val="multilevel"/>
    <w:tmpl w:val="509C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220BFE"/>
    <w:multiLevelType w:val="multilevel"/>
    <w:tmpl w:val="97EC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9F0FBC"/>
    <w:multiLevelType w:val="hybridMultilevel"/>
    <w:tmpl w:val="164A5C2E"/>
    <w:lvl w:ilvl="0" w:tplc="29CCC82E">
      <w:start w:val="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7628D"/>
    <w:multiLevelType w:val="hybridMultilevel"/>
    <w:tmpl w:val="BAAA866A"/>
    <w:lvl w:ilvl="0" w:tplc="7508557A">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5661282">
    <w:abstractNumId w:val="1"/>
  </w:num>
  <w:num w:numId="2" w16cid:durableId="103043142">
    <w:abstractNumId w:val="9"/>
  </w:num>
  <w:num w:numId="3" w16cid:durableId="1604610426">
    <w:abstractNumId w:val="0"/>
  </w:num>
  <w:num w:numId="4" w16cid:durableId="1152791254">
    <w:abstractNumId w:val="10"/>
  </w:num>
  <w:num w:numId="5" w16cid:durableId="167260297">
    <w:abstractNumId w:val="8"/>
  </w:num>
  <w:num w:numId="6" w16cid:durableId="1197936779">
    <w:abstractNumId w:val="6"/>
  </w:num>
  <w:num w:numId="7" w16cid:durableId="1601599012">
    <w:abstractNumId w:val="7"/>
  </w:num>
  <w:num w:numId="8" w16cid:durableId="478419120">
    <w:abstractNumId w:val="4"/>
  </w:num>
  <w:num w:numId="9" w16cid:durableId="2146510864">
    <w:abstractNumId w:val="3"/>
  </w:num>
  <w:num w:numId="10" w16cid:durableId="496120189">
    <w:abstractNumId w:val="5"/>
  </w:num>
  <w:num w:numId="11" w16cid:durableId="165218544">
    <w:abstractNumId w:val="11"/>
  </w:num>
  <w:num w:numId="12" w16cid:durableId="99107328">
    <w:abstractNumId w:val="12"/>
  </w:num>
  <w:num w:numId="13" w16cid:durableId="320935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5612C"/>
    <w:rsid w:val="00006EF5"/>
    <w:rsid w:val="000458DC"/>
    <w:rsid w:val="000640CD"/>
    <w:rsid w:val="000705E3"/>
    <w:rsid w:val="00096285"/>
    <w:rsid w:val="000A5389"/>
    <w:rsid w:val="000E109C"/>
    <w:rsid w:val="000E6EDE"/>
    <w:rsid w:val="000E7BC1"/>
    <w:rsid w:val="001372C1"/>
    <w:rsid w:val="00141D49"/>
    <w:rsid w:val="00150FE1"/>
    <w:rsid w:val="0016462E"/>
    <w:rsid w:val="00166797"/>
    <w:rsid w:val="00190B21"/>
    <w:rsid w:val="00193187"/>
    <w:rsid w:val="001B1FC5"/>
    <w:rsid w:val="001B512A"/>
    <w:rsid w:val="001D69C5"/>
    <w:rsid w:val="001F34C2"/>
    <w:rsid w:val="002166C8"/>
    <w:rsid w:val="002220C6"/>
    <w:rsid w:val="00266EB5"/>
    <w:rsid w:val="00272A89"/>
    <w:rsid w:val="0028031A"/>
    <w:rsid w:val="00283FD7"/>
    <w:rsid w:val="002A5116"/>
    <w:rsid w:val="002B1D8B"/>
    <w:rsid w:val="002C142B"/>
    <w:rsid w:val="002F5D75"/>
    <w:rsid w:val="00301649"/>
    <w:rsid w:val="00302C8F"/>
    <w:rsid w:val="00303464"/>
    <w:rsid w:val="00311E2C"/>
    <w:rsid w:val="00313F40"/>
    <w:rsid w:val="0032408E"/>
    <w:rsid w:val="00336973"/>
    <w:rsid w:val="00347864"/>
    <w:rsid w:val="00363234"/>
    <w:rsid w:val="00364CAB"/>
    <w:rsid w:val="00380900"/>
    <w:rsid w:val="003947CC"/>
    <w:rsid w:val="003A7270"/>
    <w:rsid w:val="003C1831"/>
    <w:rsid w:val="003E1917"/>
    <w:rsid w:val="003E7422"/>
    <w:rsid w:val="003E7EAB"/>
    <w:rsid w:val="003F3FF0"/>
    <w:rsid w:val="003F53CE"/>
    <w:rsid w:val="004032CE"/>
    <w:rsid w:val="00417CBF"/>
    <w:rsid w:val="004234ED"/>
    <w:rsid w:val="00423933"/>
    <w:rsid w:val="0042399C"/>
    <w:rsid w:val="00436031"/>
    <w:rsid w:val="00441A56"/>
    <w:rsid w:val="00445A49"/>
    <w:rsid w:val="0045612C"/>
    <w:rsid w:val="004634E6"/>
    <w:rsid w:val="00463D8D"/>
    <w:rsid w:val="00474E71"/>
    <w:rsid w:val="0049518C"/>
    <w:rsid w:val="004C41C9"/>
    <w:rsid w:val="004D7CD9"/>
    <w:rsid w:val="004E040B"/>
    <w:rsid w:val="004E10A7"/>
    <w:rsid w:val="004F0A33"/>
    <w:rsid w:val="00503011"/>
    <w:rsid w:val="00503149"/>
    <w:rsid w:val="0050465B"/>
    <w:rsid w:val="00531E7E"/>
    <w:rsid w:val="005408CF"/>
    <w:rsid w:val="005856BA"/>
    <w:rsid w:val="0059230A"/>
    <w:rsid w:val="005D1285"/>
    <w:rsid w:val="005D2E57"/>
    <w:rsid w:val="00604C14"/>
    <w:rsid w:val="00620C3F"/>
    <w:rsid w:val="0062201F"/>
    <w:rsid w:val="00654734"/>
    <w:rsid w:val="0065638B"/>
    <w:rsid w:val="00662165"/>
    <w:rsid w:val="006626A4"/>
    <w:rsid w:val="00675577"/>
    <w:rsid w:val="0067640B"/>
    <w:rsid w:val="00684AEE"/>
    <w:rsid w:val="00684BC9"/>
    <w:rsid w:val="00691BE9"/>
    <w:rsid w:val="0069540E"/>
    <w:rsid w:val="006D58F0"/>
    <w:rsid w:val="0071483A"/>
    <w:rsid w:val="0074208B"/>
    <w:rsid w:val="00746DAA"/>
    <w:rsid w:val="00753155"/>
    <w:rsid w:val="00756DD4"/>
    <w:rsid w:val="007A0ABB"/>
    <w:rsid w:val="007A0AC1"/>
    <w:rsid w:val="007B5E47"/>
    <w:rsid w:val="007D020D"/>
    <w:rsid w:val="007D0A9D"/>
    <w:rsid w:val="007E789A"/>
    <w:rsid w:val="008155D4"/>
    <w:rsid w:val="00821D60"/>
    <w:rsid w:val="00823EE9"/>
    <w:rsid w:val="00847642"/>
    <w:rsid w:val="00856AB9"/>
    <w:rsid w:val="008B34FF"/>
    <w:rsid w:val="008B7579"/>
    <w:rsid w:val="008C17D3"/>
    <w:rsid w:val="008C3E5D"/>
    <w:rsid w:val="008F0056"/>
    <w:rsid w:val="009160EB"/>
    <w:rsid w:val="009432C8"/>
    <w:rsid w:val="009732B0"/>
    <w:rsid w:val="00973729"/>
    <w:rsid w:val="0097630E"/>
    <w:rsid w:val="009B5B81"/>
    <w:rsid w:val="009C6888"/>
    <w:rsid w:val="009E6D1D"/>
    <w:rsid w:val="009F1255"/>
    <w:rsid w:val="00A0348E"/>
    <w:rsid w:val="00A03784"/>
    <w:rsid w:val="00A042DA"/>
    <w:rsid w:val="00A04473"/>
    <w:rsid w:val="00A12B98"/>
    <w:rsid w:val="00A40C20"/>
    <w:rsid w:val="00A80444"/>
    <w:rsid w:val="00A8736A"/>
    <w:rsid w:val="00AC2E0C"/>
    <w:rsid w:val="00AE583F"/>
    <w:rsid w:val="00AF2152"/>
    <w:rsid w:val="00B33AFD"/>
    <w:rsid w:val="00B61522"/>
    <w:rsid w:val="00B64D26"/>
    <w:rsid w:val="00B776AC"/>
    <w:rsid w:val="00B82FBD"/>
    <w:rsid w:val="00BC0049"/>
    <w:rsid w:val="00BC22B2"/>
    <w:rsid w:val="00BD353E"/>
    <w:rsid w:val="00BE1D84"/>
    <w:rsid w:val="00BE2A0B"/>
    <w:rsid w:val="00C33DA7"/>
    <w:rsid w:val="00C47866"/>
    <w:rsid w:val="00C47E3D"/>
    <w:rsid w:val="00C56156"/>
    <w:rsid w:val="00C61DD1"/>
    <w:rsid w:val="00C6333B"/>
    <w:rsid w:val="00C752FE"/>
    <w:rsid w:val="00C759F7"/>
    <w:rsid w:val="00C91015"/>
    <w:rsid w:val="00C95F92"/>
    <w:rsid w:val="00CB0467"/>
    <w:rsid w:val="00CB2093"/>
    <w:rsid w:val="00CC1CE7"/>
    <w:rsid w:val="00CF24AA"/>
    <w:rsid w:val="00D01B47"/>
    <w:rsid w:val="00D147F2"/>
    <w:rsid w:val="00D33195"/>
    <w:rsid w:val="00D44C1B"/>
    <w:rsid w:val="00D67779"/>
    <w:rsid w:val="00D979CE"/>
    <w:rsid w:val="00DA0E66"/>
    <w:rsid w:val="00DA5E42"/>
    <w:rsid w:val="00DA6421"/>
    <w:rsid w:val="00DB78B2"/>
    <w:rsid w:val="00DD598B"/>
    <w:rsid w:val="00DF249B"/>
    <w:rsid w:val="00E079A3"/>
    <w:rsid w:val="00E16DA7"/>
    <w:rsid w:val="00E31E18"/>
    <w:rsid w:val="00E433D7"/>
    <w:rsid w:val="00E518DE"/>
    <w:rsid w:val="00E55446"/>
    <w:rsid w:val="00E745F6"/>
    <w:rsid w:val="00E90884"/>
    <w:rsid w:val="00EB7FFB"/>
    <w:rsid w:val="00EC0997"/>
    <w:rsid w:val="00EC26F3"/>
    <w:rsid w:val="00ED576B"/>
    <w:rsid w:val="00EE6063"/>
    <w:rsid w:val="00EE705C"/>
    <w:rsid w:val="00F004D8"/>
    <w:rsid w:val="00F13C81"/>
    <w:rsid w:val="00F21F01"/>
    <w:rsid w:val="00F236C9"/>
    <w:rsid w:val="00F27187"/>
    <w:rsid w:val="00F45B10"/>
    <w:rsid w:val="00F46A7B"/>
    <w:rsid w:val="00F53357"/>
    <w:rsid w:val="00FA2DF6"/>
    <w:rsid w:val="00FA59B1"/>
    <w:rsid w:val="00FB6B82"/>
    <w:rsid w:val="00FC0073"/>
    <w:rsid w:val="00FD0DF4"/>
    <w:rsid w:val="01C4EEA2"/>
    <w:rsid w:val="01CB407E"/>
    <w:rsid w:val="0379E760"/>
    <w:rsid w:val="03BC13B5"/>
    <w:rsid w:val="06985FC5"/>
    <w:rsid w:val="0777DCF8"/>
    <w:rsid w:val="0A1F4303"/>
    <w:rsid w:val="0B17E33D"/>
    <w:rsid w:val="0CE541BB"/>
    <w:rsid w:val="0D0F8ECF"/>
    <w:rsid w:val="0DDE735C"/>
    <w:rsid w:val="0EAB5F30"/>
    <w:rsid w:val="0ED98BC9"/>
    <w:rsid w:val="11753153"/>
    <w:rsid w:val="12421581"/>
    <w:rsid w:val="12551A95"/>
    <w:rsid w:val="1425574B"/>
    <w:rsid w:val="18B84359"/>
    <w:rsid w:val="1A303E2C"/>
    <w:rsid w:val="1A56993E"/>
    <w:rsid w:val="1AE0F4BC"/>
    <w:rsid w:val="1AE92FE9"/>
    <w:rsid w:val="1B1C1399"/>
    <w:rsid w:val="1C5C8F48"/>
    <w:rsid w:val="1C6213E6"/>
    <w:rsid w:val="1D4EB691"/>
    <w:rsid w:val="1DF85FA9"/>
    <w:rsid w:val="1E118806"/>
    <w:rsid w:val="1E53B45B"/>
    <w:rsid w:val="1ECAE67A"/>
    <w:rsid w:val="1F2CC611"/>
    <w:rsid w:val="1F94D2C5"/>
    <w:rsid w:val="1FDEB754"/>
    <w:rsid w:val="203B55FC"/>
    <w:rsid w:val="205C8412"/>
    <w:rsid w:val="20CD4FB5"/>
    <w:rsid w:val="2131C6D3"/>
    <w:rsid w:val="224B0862"/>
    <w:rsid w:val="225A6883"/>
    <w:rsid w:val="22CBD0CC"/>
    <w:rsid w:val="25D01FAA"/>
    <w:rsid w:val="2603718E"/>
    <w:rsid w:val="266B9493"/>
    <w:rsid w:val="26B63FB6"/>
    <w:rsid w:val="28781C2D"/>
    <w:rsid w:val="28E2475E"/>
    <w:rsid w:val="2905BCCF"/>
    <w:rsid w:val="2B12C32F"/>
    <w:rsid w:val="2B3A24E9"/>
    <w:rsid w:val="2B564190"/>
    <w:rsid w:val="2C7AA098"/>
    <w:rsid w:val="2C8C58E7"/>
    <w:rsid w:val="2E589D4E"/>
    <w:rsid w:val="2E5B9AE0"/>
    <w:rsid w:val="30A468A3"/>
    <w:rsid w:val="30A9F9D1"/>
    <w:rsid w:val="30B04D4D"/>
    <w:rsid w:val="31BB1021"/>
    <w:rsid w:val="3373D50A"/>
    <w:rsid w:val="33BAC75F"/>
    <w:rsid w:val="355EB169"/>
    <w:rsid w:val="362182DE"/>
    <w:rsid w:val="36A003AF"/>
    <w:rsid w:val="37FF7F94"/>
    <w:rsid w:val="3891C7D9"/>
    <w:rsid w:val="38DF42CB"/>
    <w:rsid w:val="38EB5501"/>
    <w:rsid w:val="395923A0"/>
    <w:rsid w:val="3A32228C"/>
    <w:rsid w:val="3C91FF65"/>
    <w:rsid w:val="3CA4FF4A"/>
    <w:rsid w:val="3E62AEE2"/>
    <w:rsid w:val="3FBB3F98"/>
    <w:rsid w:val="4283FA02"/>
    <w:rsid w:val="446FD769"/>
    <w:rsid w:val="448BC4D8"/>
    <w:rsid w:val="449D150A"/>
    <w:rsid w:val="44E168E9"/>
    <w:rsid w:val="45BB9AC4"/>
    <w:rsid w:val="46689826"/>
    <w:rsid w:val="4712413E"/>
    <w:rsid w:val="4763CD1D"/>
    <w:rsid w:val="47845BE1"/>
    <w:rsid w:val="47FFDE35"/>
    <w:rsid w:val="4962F203"/>
    <w:rsid w:val="4B0C2B9F"/>
    <w:rsid w:val="4B6BD18C"/>
    <w:rsid w:val="4B8A26EC"/>
    <w:rsid w:val="4BB9ACBB"/>
    <w:rsid w:val="4E0675F3"/>
    <w:rsid w:val="50A3F411"/>
    <w:rsid w:val="50F69226"/>
    <w:rsid w:val="54A6F2ED"/>
    <w:rsid w:val="54C538E0"/>
    <w:rsid w:val="57DB5155"/>
    <w:rsid w:val="589AD2DF"/>
    <w:rsid w:val="59114CD6"/>
    <w:rsid w:val="5A03C6B3"/>
    <w:rsid w:val="5AFF5037"/>
    <w:rsid w:val="5B7FFD18"/>
    <w:rsid w:val="5D1BCD79"/>
    <w:rsid w:val="5D866BB5"/>
    <w:rsid w:val="5E39B7F6"/>
    <w:rsid w:val="5FB01B86"/>
    <w:rsid w:val="608AC774"/>
    <w:rsid w:val="63968BBC"/>
    <w:rsid w:val="64E7D482"/>
    <w:rsid w:val="6714259E"/>
    <w:rsid w:val="6788A2AD"/>
    <w:rsid w:val="686865E4"/>
    <w:rsid w:val="690B4AB1"/>
    <w:rsid w:val="6BB223D7"/>
    <w:rsid w:val="6F63E2F8"/>
    <w:rsid w:val="6FDD45E5"/>
    <w:rsid w:val="6FF044DD"/>
    <w:rsid w:val="702C22D3"/>
    <w:rsid w:val="71B258A7"/>
    <w:rsid w:val="725FAC90"/>
    <w:rsid w:val="73D5DE38"/>
    <w:rsid w:val="76089A71"/>
    <w:rsid w:val="778683CF"/>
    <w:rsid w:val="77BD79EE"/>
    <w:rsid w:val="7877C313"/>
    <w:rsid w:val="7AC52C62"/>
    <w:rsid w:val="7BB101CF"/>
    <w:rsid w:val="7CF17D7E"/>
    <w:rsid w:val="7D638E43"/>
    <w:rsid w:val="7DACD773"/>
    <w:rsid w:val="7DEA03A7"/>
    <w:rsid w:val="7ECFA25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3195"/>
  <w15:chartTrackingRefBased/>
  <w15:docId w15:val="{732BE152-8BC4-4996-B6B3-559958A1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1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45612C"/>
    <w:rPr>
      <w:color w:val="0000FF"/>
      <w:u w:val="single"/>
    </w:rPr>
  </w:style>
  <w:style w:type="character" w:styleId="Strong">
    <w:name w:val="Strong"/>
    <w:basedOn w:val="DefaultParagraphFont"/>
    <w:uiPriority w:val="22"/>
    <w:qFormat/>
    <w:rsid w:val="0045612C"/>
    <w:rPr>
      <w:b/>
      <w:bCs/>
    </w:rPr>
  </w:style>
  <w:style w:type="paragraph" w:customStyle="1" w:styleId="paragraph">
    <w:name w:val="paragraph"/>
    <w:basedOn w:val="Normal"/>
    <w:rsid w:val="004561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45612C"/>
  </w:style>
  <w:style w:type="character" w:customStyle="1" w:styleId="eop">
    <w:name w:val="eop"/>
    <w:basedOn w:val="DefaultParagraphFont"/>
    <w:rsid w:val="0045612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220C6"/>
    <w:pPr>
      <w:ind w:left="720"/>
      <w:contextualSpacing/>
    </w:pPr>
  </w:style>
  <w:style w:type="paragraph" w:styleId="CommentSubject">
    <w:name w:val="annotation subject"/>
    <w:basedOn w:val="CommentText"/>
    <w:next w:val="CommentText"/>
    <w:link w:val="CommentSubjectChar"/>
    <w:uiPriority w:val="99"/>
    <w:semiHidden/>
    <w:unhideWhenUsed/>
    <w:rsid w:val="00347864"/>
    <w:rPr>
      <w:b/>
      <w:bCs/>
    </w:rPr>
  </w:style>
  <w:style w:type="character" w:customStyle="1" w:styleId="CommentSubjectChar">
    <w:name w:val="Comment Subject Char"/>
    <w:basedOn w:val="CommentTextChar"/>
    <w:link w:val="CommentSubject"/>
    <w:uiPriority w:val="99"/>
    <w:semiHidden/>
    <w:rsid w:val="00347864"/>
    <w:rPr>
      <w:b/>
      <w:bCs/>
      <w:sz w:val="20"/>
      <w:szCs w:val="20"/>
    </w:rPr>
  </w:style>
  <w:style w:type="table" w:styleId="TableGrid">
    <w:name w:val="Table Grid"/>
    <w:basedOn w:val="TableNormal"/>
    <w:uiPriority w:val="59"/>
    <w:rsid w:val="008F0056"/>
    <w:pPr>
      <w:spacing w:after="0" w:line="240" w:lineRule="auto"/>
    </w:pPr>
    <w:rPr>
      <w:rFonts w:ascii="Calibri" w:eastAsia="Calibri" w:hAnsi="Calibri" w:cs="Times New Roman"/>
      <w:sz w:val="20"/>
      <w:szCs w:val="20"/>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64CAB"/>
    <w:pPr>
      <w:spacing w:after="0" w:line="240" w:lineRule="auto"/>
    </w:pPr>
  </w:style>
  <w:style w:type="character" w:styleId="UnresolvedMention">
    <w:name w:val="Unresolved Mention"/>
    <w:basedOn w:val="DefaultParagraphFont"/>
    <w:uiPriority w:val="99"/>
    <w:semiHidden/>
    <w:unhideWhenUsed/>
    <w:rsid w:val="00A04473"/>
    <w:rPr>
      <w:color w:val="605E5C"/>
      <w:shd w:val="clear" w:color="auto" w:fill="E1DFDD"/>
    </w:rPr>
  </w:style>
  <w:style w:type="character" w:styleId="FollowedHyperlink">
    <w:name w:val="FollowedHyperlink"/>
    <w:basedOn w:val="DefaultParagraphFont"/>
    <w:uiPriority w:val="99"/>
    <w:semiHidden/>
    <w:unhideWhenUsed/>
    <w:rsid w:val="00AF21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1500">
      <w:bodyDiv w:val="1"/>
      <w:marLeft w:val="0"/>
      <w:marRight w:val="0"/>
      <w:marTop w:val="0"/>
      <w:marBottom w:val="0"/>
      <w:divBdr>
        <w:top w:val="none" w:sz="0" w:space="0" w:color="auto"/>
        <w:left w:val="none" w:sz="0" w:space="0" w:color="auto"/>
        <w:bottom w:val="none" w:sz="0" w:space="0" w:color="auto"/>
        <w:right w:val="none" w:sz="0" w:space="0" w:color="auto"/>
      </w:divBdr>
    </w:div>
    <w:div w:id="1345060877">
      <w:bodyDiv w:val="1"/>
      <w:marLeft w:val="0"/>
      <w:marRight w:val="0"/>
      <w:marTop w:val="0"/>
      <w:marBottom w:val="0"/>
      <w:divBdr>
        <w:top w:val="none" w:sz="0" w:space="0" w:color="auto"/>
        <w:left w:val="none" w:sz="0" w:space="0" w:color="auto"/>
        <w:bottom w:val="none" w:sz="0" w:space="0" w:color="auto"/>
        <w:right w:val="none" w:sz="0" w:space="0" w:color="auto"/>
      </w:divBdr>
      <w:divsChild>
        <w:div w:id="204298111">
          <w:marLeft w:val="0"/>
          <w:marRight w:val="0"/>
          <w:marTop w:val="0"/>
          <w:marBottom w:val="0"/>
          <w:divBdr>
            <w:top w:val="none" w:sz="0" w:space="0" w:color="auto"/>
            <w:left w:val="none" w:sz="0" w:space="0" w:color="auto"/>
            <w:bottom w:val="none" w:sz="0" w:space="0" w:color="auto"/>
            <w:right w:val="none" w:sz="0" w:space="0" w:color="auto"/>
          </w:divBdr>
          <w:divsChild>
            <w:div w:id="940919533">
              <w:marLeft w:val="0"/>
              <w:marRight w:val="0"/>
              <w:marTop w:val="0"/>
              <w:marBottom w:val="0"/>
              <w:divBdr>
                <w:top w:val="none" w:sz="0" w:space="0" w:color="auto"/>
                <w:left w:val="none" w:sz="0" w:space="0" w:color="auto"/>
                <w:bottom w:val="none" w:sz="0" w:space="0" w:color="auto"/>
                <w:right w:val="none" w:sz="0" w:space="0" w:color="auto"/>
              </w:divBdr>
            </w:div>
            <w:div w:id="1491560276">
              <w:marLeft w:val="0"/>
              <w:marRight w:val="0"/>
              <w:marTop w:val="0"/>
              <w:marBottom w:val="0"/>
              <w:divBdr>
                <w:top w:val="none" w:sz="0" w:space="0" w:color="auto"/>
                <w:left w:val="none" w:sz="0" w:space="0" w:color="auto"/>
                <w:bottom w:val="none" w:sz="0" w:space="0" w:color="auto"/>
                <w:right w:val="none" w:sz="0" w:space="0" w:color="auto"/>
              </w:divBdr>
            </w:div>
            <w:div w:id="1933968848">
              <w:marLeft w:val="0"/>
              <w:marRight w:val="0"/>
              <w:marTop w:val="0"/>
              <w:marBottom w:val="0"/>
              <w:divBdr>
                <w:top w:val="none" w:sz="0" w:space="0" w:color="auto"/>
                <w:left w:val="none" w:sz="0" w:space="0" w:color="auto"/>
                <w:bottom w:val="none" w:sz="0" w:space="0" w:color="auto"/>
                <w:right w:val="none" w:sz="0" w:space="0" w:color="auto"/>
              </w:divBdr>
            </w:div>
          </w:divsChild>
        </w:div>
        <w:div w:id="1616131957">
          <w:marLeft w:val="0"/>
          <w:marRight w:val="0"/>
          <w:marTop w:val="0"/>
          <w:marBottom w:val="0"/>
          <w:divBdr>
            <w:top w:val="none" w:sz="0" w:space="0" w:color="auto"/>
            <w:left w:val="none" w:sz="0" w:space="0" w:color="auto"/>
            <w:bottom w:val="none" w:sz="0" w:space="0" w:color="auto"/>
            <w:right w:val="none" w:sz="0" w:space="0" w:color="auto"/>
          </w:divBdr>
          <w:divsChild>
            <w:div w:id="1061445887">
              <w:marLeft w:val="0"/>
              <w:marRight w:val="0"/>
              <w:marTop w:val="0"/>
              <w:marBottom w:val="0"/>
              <w:divBdr>
                <w:top w:val="none" w:sz="0" w:space="0" w:color="auto"/>
                <w:left w:val="none" w:sz="0" w:space="0" w:color="auto"/>
                <w:bottom w:val="none" w:sz="0" w:space="0" w:color="auto"/>
                <w:right w:val="none" w:sz="0" w:space="0" w:color="auto"/>
              </w:divBdr>
            </w:div>
            <w:div w:id="1068462194">
              <w:marLeft w:val="0"/>
              <w:marRight w:val="0"/>
              <w:marTop w:val="0"/>
              <w:marBottom w:val="0"/>
              <w:divBdr>
                <w:top w:val="none" w:sz="0" w:space="0" w:color="auto"/>
                <w:left w:val="none" w:sz="0" w:space="0" w:color="auto"/>
                <w:bottom w:val="none" w:sz="0" w:space="0" w:color="auto"/>
                <w:right w:val="none" w:sz="0" w:space="0" w:color="auto"/>
              </w:divBdr>
            </w:div>
            <w:div w:id="2062552628">
              <w:marLeft w:val="0"/>
              <w:marRight w:val="0"/>
              <w:marTop w:val="0"/>
              <w:marBottom w:val="0"/>
              <w:divBdr>
                <w:top w:val="none" w:sz="0" w:space="0" w:color="auto"/>
                <w:left w:val="none" w:sz="0" w:space="0" w:color="auto"/>
                <w:bottom w:val="none" w:sz="0" w:space="0" w:color="auto"/>
                <w:right w:val="none" w:sz="0" w:space="0" w:color="auto"/>
              </w:divBdr>
            </w:div>
          </w:divsChild>
        </w:div>
        <w:div w:id="1727290202">
          <w:marLeft w:val="0"/>
          <w:marRight w:val="0"/>
          <w:marTop w:val="0"/>
          <w:marBottom w:val="0"/>
          <w:divBdr>
            <w:top w:val="none" w:sz="0" w:space="0" w:color="auto"/>
            <w:left w:val="none" w:sz="0" w:space="0" w:color="auto"/>
            <w:bottom w:val="none" w:sz="0" w:space="0" w:color="auto"/>
            <w:right w:val="none" w:sz="0" w:space="0" w:color="auto"/>
          </w:divBdr>
          <w:divsChild>
            <w:div w:id="1653294281">
              <w:marLeft w:val="0"/>
              <w:marRight w:val="0"/>
              <w:marTop w:val="0"/>
              <w:marBottom w:val="0"/>
              <w:divBdr>
                <w:top w:val="none" w:sz="0" w:space="0" w:color="auto"/>
                <w:left w:val="none" w:sz="0" w:space="0" w:color="auto"/>
                <w:bottom w:val="none" w:sz="0" w:space="0" w:color="auto"/>
                <w:right w:val="none" w:sz="0" w:space="0" w:color="auto"/>
              </w:divBdr>
            </w:div>
            <w:div w:id="17782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bras-lab.com/wp-content/uploads/2023/02/PilotGrant_ApplicationForm_FINAL.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polarisation-fmg@uva.nl?subject=[Pilot%20Grant%20Application]%20RPA%20Polar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8BC01CBC4E84CA62EA88737EEF6D3" ma:contentTypeVersion="4" ma:contentTypeDescription="Een nieuw document maken." ma:contentTypeScope="" ma:versionID="ef81695c8a84aa282cd262c7657cdfdf">
  <xsd:schema xmlns:xsd="http://www.w3.org/2001/XMLSchema" xmlns:xs="http://www.w3.org/2001/XMLSchema" xmlns:p="http://schemas.microsoft.com/office/2006/metadata/properties" xmlns:ns2="ea012761-de12-4ae8-b900-16b0b33dc6c4" xmlns:ns3="df07bd90-0a96-4d90-819a-1268ffc94f7b" targetNamespace="http://schemas.microsoft.com/office/2006/metadata/properties" ma:root="true" ma:fieldsID="9bb636b797ee29b7a56dc50854954491" ns2:_="" ns3:_="">
    <xsd:import namespace="ea012761-de12-4ae8-b900-16b0b33dc6c4"/>
    <xsd:import namespace="df07bd90-0a96-4d90-819a-1268ffc94f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12761-de12-4ae8-b900-16b0b33dc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07bd90-0a96-4d90-819a-1268ffc94f7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EEC82-F467-4B4A-A6FB-B4E274F38A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24073-8D7C-4EBA-A6D9-DFB2E43134F9}">
  <ds:schemaRefs>
    <ds:schemaRef ds:uri="http://schemas.microsoft.com/sharepoint/v3/contenttype/forms"/>
  </ds:schemaRefs>
</ds:datastoreItem>
</file>

<file path=customXml/itemProps3.xml><?xml version="1.0" encoding="utf-8"?>
<ds:datastoreItem xmlns:ds="http://schemas.openxmlformats.org/officeDocument/2006/customXml" ds:itemID="{036FDD83-7D64-4E24-B75A-1157B786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12761-de12-4ae8-b900-16b0b33dc6c4"/>
    <ds:schemaRef ds:uri="df07bd90-0a96-4d90-819a-1268ffc94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Otten</dc:creator>
  <cp:keywords/>
  <dc:description/>
  <cp:lastModifiedBy>Christin Scholz</cp:lastModifiedBy>
  <cp:revision>153</cp:revision>
  <dcterms:created xsi:type="dcterms:W3CDTF">2023-02-02T13:14:00Z</dcterms:created>
  <dcterms:modified xsi:type="dcterms:W3CDTF">2023-02-13T15:15:00Z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0x010100D0B8BC01CBC4E84CA62EA88737EEF6D3</vt:lpwstr>
  </property>
</Properties>
</file>